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83" w:rsidRPr="001C0C5F" w:rsidRDefault="00806D83" w:rsidP="001C0C5F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1C0C5F">
        <w:rPr>
          <w:b/>
          <w:sz w:val="24"/>
          <w:szCs w:val="24"/>
          <w:u w:val="single"/>
          <w:lang w:val="en-US"/>
        </w:rPr>
        <w:t>Adaptation</w:t>
      </w:r>
      <w:r w:rsidR="00BD64B4">
        <w:rPr>
          <w:b/>
          <w:sz w:val="24"/>
          <w:szCs w:val="24"/>
          <w:u w:val="single"/>
          <w:lang w:val="en-US"/>
        </w:rPr>
        <w:t>s</w:t>
      </w:r>
      <w:r w:rsidRPr="001C0C5F">
        <w:rPr>
          <w:b/>
          <w:sz w:val="24"/>
          <w:szCs w:val="24"/>
          <w:u w:val="single"/>
          <w:lang w:val="en-US"/>
        </w:rPr>
        <w:t xml:space="preserve"> to the TFF</w:t>
      </w:r>
    </w:p>
    <w:p w:rsidR="00806D83" w:rsidRPr="00BD64B4" w:rsidRDefault="00ED31F6">
      <w:pPr>
        <w:rPr>
          <w:b/>
          <w:i/>
          <w:lang w:val="en-US"/>
        </w:rPr>
      </w:pPr>
      <w:r w:rsidRPr="00BD64B4">
        <w:rPr>
          <w:b/>
          <w:i/>
          <w:lang w:val="en-US"/>
        </w:rPr>
        <w:t xml:space="preserve">Adaptations after </w:t>
      </w:r>
      <w:r w:rsidR="0037246A" w:rsidRPr="00BD64B4">
        <w:rPr>
          <w:b/>
          <w:i/>
          <w:lang w:val="en-US"/>
        </w:rPr>
        <w:t xml:space="preserve">Inspector of Finance </w:t>
      </w:r>
      <w:r w:rsidR="0086255E" w:rsidRPr="00BD64B4">
        <w:rPr>
          <w:b/>
          <w:i/>
          <w:lang w:val="en-US"/>
        </w:rPr>
        <w:t xml:space="preserve">and organizational assessments of RGB and </w:t>
      </w:r>
      <w:proofErr w:type="spellStart"/>
      <w:r w:rsidR="0086255E" w:rsidRPr="00BD64B4">
        <w:rPr>
          <w:b/>
          <w:i/>
          <w:lang w:val="en-US"/>
        </w:rPr>
        <w:t>Ralga</w:t>
      </w:r>
      <w:proofErr w:type="spellEnd"/>
    </w:p>
    <w:p w:rsidR="003E68BC" w:rsidRPr="00BD64B4" w:rsidRDefault="003E68BC" w:rsidP="003E68BC">
      <w:pPr>
        <w:jc w:val="both"/>
        <w:rPr>
          <w:b/>
          <w:u w:val="single"/>
          <w:lang w:val="en-US"/>
        </w:rPr>
      </w:pPr>
      <w:r w:rsidRPr="00BD64B4">
        <w:rPr>
          <w:b/>
          <w:u w:val="single"/>
          <w:lang w:val="en-US"/>
        </w:rPr>
        <w:t>In Summary :</w:t>
      </w:r>
    </w:p>
    <w:p w:rsidR="00B253D4" w:rsidRPr="00BD64B4" w:rsidRDefault="00B253D4" w:rsidP="00B253D4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BD64B4">
        <w:rPr>
          <w:lang w:val="en-US"/>
        </w:rPr>
        <w:t xml:space="preserve">Funding of LCF-LED: has been taken out of the Result 2 of RDSP-ECD </w:t>
      </w:r>
      <w:proofErr w:type="spellStart"/>
      <w:r w:rsidR="00BD64B4" w:rsidRPr="00BD64B4">
        <w:rPr>
          <w:lang w:val="en-US"/>
        </w:rPr>
        <w:t>andmoved</w:t>
      </w:r>
      <w:proofErr w:type="spellEnd"/>
      <w:r w:rsidRPr="00BD64B4">
        <w:rPr>
          <w:lang w:val="en-US"/>
        </w:rPr>
        <w:t xml:space="preserve"> to Intervention RDSP-DDP. The division of tasks between RDSP-ECD and RDSP-DDP clearly appears in the text and in annexes (‘LCF &amp; Pilots’). There are some risks of </w:t>
      </w:r>
      <w:r w:rsidR="00BD64B4" w:rsidRPr="00BD64B4">
        <w:rPr>
          <w:lang w:val="en-US"/>
        </w:rPr>
        <w:t>in</w:t>
      </w:r>
      <w:r w:rsidRPr="00BD64B4">
        <w:rPr>
          <w:lang w:val="en-US"/>
        </w:rPr>
        <w:t>coherence in the implementation to switch the funding of LCF-LED within the second intervention. But mitigation measures, such as to let the responsibility of the set-up of LCF-LED under the project team &amp; LED expertise planned in RDSP-ECD to maintain a more coherent approach from the very beginning of preparing the design and the implementation of the fund.</w:t>
      </w:r>
    </w:p>
    <w:p w:rsidR="00B253D4" w:rsidRPr="00BD64B4" w:rsidRDefault="00B253D4" w:rsidP="00B253D4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BD64B4">
        <w:rPr>
          <w:lang w:val="en-US"/>
        </w:rPr>
        <w:t xml:space="preserve">CB measures for RGB and </w:t>
      </w:r>
      <w:proofErr w:type="spellStart"/>
      <w:r w:rsidRPr="00BD64B4">
        <w:rPr>
          <w:lang w:val="en-US"/>
        </w:rPr>
        <w:t>Ralga</w:t>
      </w:r>
      <w:proofErr w:type="spellEnd"/>
      <w:r w:rsidRPr="00BD64B4">
        <w:rPr>
          <w:lang w:val="en-US"/>
        </w:rPr>
        <w:t>: they have been identified as recommended by OA of RALGA and RGB and added; slight changes in context analysis.</w:t>
      </w:r>
    </w:p>
    <w:p w:rsidR="00B253D4" w:rsidRPr="00BD64B4" w:rsidRDefault="00B253D4" w:rsidP="00B253D4">
      <w:pPr>
        <w:pStyle w:val="ListParagraph"/>
        <w:numPr>
          <w:ilvl w:val="0"/>
          <w:numId w:val="8"/>
        </w:numPr>
        <w:jc w:val="both"/>
        <w:rPr>
          <w:lang w:val="en-US"/>
        </w:rPr>
      </w:pPr>
      <w:proofErr w:type="spellStart"/>
      <w:r w:rsidRPr="00BD64B4">
        <w:rPr>
          <w:lang w:val="en-US"/>
        </w:rPr>
        <w:t>Capitalisation</w:t>
      </w:r>
      <w:proofErr w:type="spellEnd"/>
      <w:r w:rsidRPr="00BD64B4">
        <w:rPr>
          <w:lang w:val="en-US"/>
        </w:rPr>
        <w:t xml:space="preserve">/lessons learned: this result will contribute to an "evidence-based policy making". Budget has been added. </w:t>
      </w:r>
      <w:proofErr w:type="spellStart"/>
      <w:r w:rsidRPr="00BD64B4">
        <w:rPr>
          <w:lang w:val="en-US"/>
        </w:rPr>
        <w:t>ToR</w:t>
      </w:r>
      <w:proofErr w:type="spellEnd"/>
      <w:r w:rsidRPr="00BD64B4">
        <w:rPr>
          <w:lang w:val="en-US"/>
        </w:rPr>
        <w:t xml:space="preserve"> of TA have been slightly </w:t>
      </w:r>
      <w:r w:rsidR="00BD64B4" w:rsidRPr="00BD64B4">
        <w:rPr>
          <w:lang w:val="en-US"/>
        </w:rPr>
        <w:t>adapted</w:t>
      </w:r>
      <w:r w:rsidRPr="00BD64B4">
        <w:rPr>
          <w:lang w:val="en-US"/>
        </w:rPr>
        <w:t xml:space="preserve"> to take this task explicitly into account.</w:t>
      </w:r>
    </w:p>
    <w:p w:rsidR="007F146A" w:rsidRPr="00BD64B4" w:rsidRDefault="00B253D4" w:rsidP="00B253D4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BD64B4">
        <w:rPr>
          <w:lang w:val="en-US"/>
        </w:rPr>
        <w:t xml:space="preserve">Budget: has been adapted consequently to all changes which had a budgetary implication. </w:t>
      </w:r>
      <w:r w:rsidR="007F146A" w:rsidRPr="00BD64B4">
        <w:rPr>
          <w:lang w:val="en-US"/>
        </w:rPr>
        <w:t xml:space="preserve">Total of 3M° is reduced from RDSP-ECD to RDSP-DDP as follows : </w:t>
      </w:r>
    </w:p>
    <w:p w:rsidR="0047604B" w:rsidRPr="005F3C56" w:rsidRDefault="0047604B" w:rsidP="0047604B">
      <w:pPr>
        <w:jc w:val="both"/>
        <w:rPr>
          <w:sz w:val="20"/>
          <w:szCs w:val="20"/>
          <w:lang w:val="en-US" w:eastAsia="fr-BE"/>
        </w:rPr>
      </w:pPr>
      <w:r>
        <w:fldChar w:fldCharType="begin"/>
      </w:r>
      <w:r w:rsidRPr="005F3C56">
        <w:rPr>
          <w:lang w:val="en-US"/>
        </w:rPr>
        <w:instrText xml:space="preserve"> LINK Excel.Sheet.12 "Classeur1" "Feuil1!L2C2:L11C5" \a \f 4 \h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716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620"/>
        <w:gridCol w:w="1400"/>
        <w:gridCol w:w="1200"/>
      </w:tblGrid>
      <w:tr w:rsidR="0047604B" w:rsidRPr="0047604B" w:rsidTr="00BD64B4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5F3C56" w:rsidRDefault="0047604B" w:rsidP="00BD64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fr-BE"/>
              </w:rPr>
            </w:pPr>
            <w:r w:rsidRPr="005F3C56">
              <w:rPr>
                <w:rFonts w:eastAsia="Times New Roman" w:cs="Calibri"/>
                <w:b/>
                <w:bCs/>
                <w:color w:val="000000"/>
                <w:lang w:val="en-US" w:eastAsia="fr-B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  <w:proofErr w:type="spellStart"/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>Previous</w:t>
            </w:r>
            <w:proofErr w:type="spellEnd"/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 xml:space="preserve"> budget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>New budget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  <w:proofErr w:type="spellStart"/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>Difference</w:t>
            </w:r>
            <w:proofErr w:type="spellEnd"/>
          </w:p>
        </w:tc>
      </w:tr>
      <w:tr w:rsidR="0047604B" w:rsidRPr="0047604B" w:rsidTr="00BD64B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R1 (LG CB)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€ 4.400.000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€ 4.362.500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-€ 37.500</w:t>
            </w:r>
          </w:p>
        </w:tc>
      </w:tr>
      <w:tr w:rsidR="0047604B" w:rsidRPr="0047604B" w:rsidTr="00BD64B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R2 (LED CB)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€ 6.300.000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€ 3.215.000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-€ 3.085.000</w:t>
            </w:r>
          </w:p>
        </w:tc>
      </w:tr>
      <w:tr w:rsidR="0047604B" w:rsidRPr="0047604B" w:rsidTr="00BD64B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R3 (</w:t>
            </w:r>
            <w:proofErr w:type="spellStart"/>
            <w:r w:rsidRPr="0047604B">
              <w:rPr>
                <w:rFonts w:eastAsia="Times New Roman" w:cs="Calibri"/>
                <w:color w:val="000000"/>
                <w:lang w:eastAsia="fr-BE"/>
              </w:rPr>
              <w:t>Participation&amp;Equal</w:t>
            </w:r>
            <w:proofErr w:type="spellEnd"/>
            <w:r w:rsidRPr="0047604B">
              <w:rPr>
                <w:rFonts w:eastAsia="Times New Roman" w:cs="Calibri"/>
                <w:color w:val="000000"/>
                <w:lang w:eastAsia="fr-BE"/>
              </w:rPr>
              <w:t xml:space="preserve"> </w:t>
            </w:r>
            <w:proofErr w:type="spellStart"/>
            <w:r w:rsidRPr="0047604B">
              <w:rPr>
                <w:rFonts w:eastAsia="Times New Roman" w:cs="Calibri"/>
                <w:color w:val="000000"/>
                <w:lang w:eastAsia="fr-BE"/>
              </w:rPr>
              <w:t>LgLgs</w:t>
            </w:r>
            <w:proofErr w:type="spellEnd"/>
            <w:r w:rsidRPr="0047604B">
              <w:rPr>
                <w:rFonts w:eastAsia="Times New Roman" w:cs="Calibri"/>
                <w:color w:val="000000"/>
                <w:lang w:eastAsia="fr-BE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€ 1.485.000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€ 1.485.000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€ 0</w:t>
            </w:r>
          </w:p>
        </w:tc>
      </w:tr>
      <w:tr w:rsidR="0047604B" w:rsidRPr="0047604B" w:rsidTr="00BD64B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 xml:space="preserve">R4 ( </w:t>
            </w:r>
            <w:proofErr w:type="spellStart"/>
            <w:r w:rsidRPr="0047604B">
              <w:rPr>
                <w:rFonts w:eastAsia="Times New Roman" w:cs="Calibri"/>
                <w:color w:val="000000"/>
                <w:lang w:eastAsia="fr-BE"/>
              </w:rPr>
              <w:t>Sector</w:t>
            </w:r>
            <w:proofErr w:type="spellEnd"/>
            <w:r w:rsidRPr="0047604B">
              <w:rPr>
                <w:rFonts w:eastAsia="Times New Roman" w:cs="Calibri"/>
                <w:color w:val="000000"/>
                <w:lang w:eastAsia="fr-BE"/>
              </w:rPr>
              <w:t xml:space="preserve"> coordination)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€ 400.000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€ 426.500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€ 26.500</w:t>
            </w:r>
          </w:p>
        </w:tc>
      </w:tr>
      <w:tr w:rsidR="0047604B" w:rsidRPr="0047604B" w:rsidTr="00BD64B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R5 (</w:t>
            </w:r>
            <w:proofErr w:type="spellStart"/>
            <w:r w:rsidRPr="0047604B">
              <w:rPr>
                <w:rFonts w:eastAsia="Times New Roman" w:cs="Calibri"/>
                <w:color w:val="000000"/>
                <w:lang w:eastAsia="fr-BE"/>
              </w:rPr>
              <w:t>Lessons</w:t>
            </w:r>
            <w:proofErr w:type="spellEnd"/>
            <w:r w:rsidRPr="0047604B">
              <w:rPr>
                <w:rFonts w:eastAsia="Times New Roman" w:cs="Calibri"/>
                <w:color w:val="000000"/>
                <w:lang w:eastAsia="fr-BE"/>
              </w:rPr>
              <w:t xml:space="preserve"> </w:t>
            </w:r>
            <w:proofErr w:type="spellStart"/>
            <w:r w:rsidRPr="0047604B">
              <w:rPr>
                <w:rFonts w:eastAsia="Times New Roman" w:cs="Calibri"/>
                <w:color w:val="000000"/>
                <w:lang w:eastAsia="fr-BE"/>
              </w:rPr>
              <w:t>learned</w:t>
            </w:r>
            <w:proofErr w:type="spellEnd"/>
            <w:r w:rsidRPr="0047604B">
              <w:rPr>
                <w:rFonts w:eastAsia="Times New Roman" w:cs="Calibri"/>
                <w:color w:val="000000"/>
                <w:lang w:eastAsia="fr-BE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€ 300.000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€ 600.000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€ 300.000</w:t>
            </w:r>
          </w:p>
        </w:tc>
      </w:tr>
      <w:tr w:rsidR="0047604B" w:rsidRPr="0047604B" w:rsidTr="00BD64B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  <w:proofErr w:type="spellStart"/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>Sub</w:t>
            </w:r>
            <w:proofErr w:type="spellEnd"/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 xml:space="preserve"> 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>€ 12.885.000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>€ 10.089.000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>-€ 2.796.000</w:t>
            </w:r>
          </w:p>
        </w:tc>
      </w:tr>
      <w:tr w:rsidR="0047604B" w:rsidRPr="0047604B" w:rsidTr="00BD64B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proofErr w:type="spellStart"/>
            <w:r w:rsidRPr="0047604B">
              <w:rPr>
                <w:rFonts w:eastAsia="Times New Roman" w:cs="Calibri"/>
                <w:color w:val="000000"/>
                <w:lang w:eastAsia="fr-BE"/>
              </w:rPr>
              <w:t>Contingency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€ 720.000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€ 500.000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-€ 220.000</w:t>
            </w:r>
          </w:p>
        </w:tc>
      </w:tr>
      <w:tr w:rsidR="0047604B" w:rsidRPr="0047604B" w:rsidTr="00BD64B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 xml:space="preserve">General </w:t>
            </w:r>
            <w:proofErr w:type="spellStart"/>
            <w:r w:rsidRPr="0047604B">
              <w:rPr>
                <w:rFonts w:eastAsia="Times New Roman" w:cs="Calibri"/>
                <w:color w:val="000000"/>
                <w:lang w:eastAsia="fr-BE"/>
              </w:rPr>
              <w:t>means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€ 2.895.000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€ 2.911.000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color w:val="000000"/>
                <w:lang w:eastAsia="fr-BE"/>
              </w:rPr>
              <w:t>€ 16.000</w:t>
            </w:r>
          </w:p>
        </w:tc>
      </w:tr>
      <w:tr w:rsidR="0047604B" w:rsidRPr="0047604B" w:rsidTr="00BD64B4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>€ 16.500.000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>€ 13.500.000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4B" w:rsidRPr="0047604B" w:rsidRDefault="0047604B" w:rsidP="00BD64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BE"/>
              </w:rPr>
            </w:pPr>
            <w:r w:rsidRPr="0047604B">
              <w:rPr>
                <w:rFonts w:eastAsia="Times New Roman" w:cs="Calibri"/>
                <w:b/>
                <w:bCs/>
                <w:color w:val="000000"/>
                <w:lang w:eastAsia="fr-BE"/>
              </w:rPr>
              <w:t>-€ 3.000.000</w:t>
            </w:r>
          </w:p>
        </w:tc>
      </w:tr>
    </w:tbl>
    <w:p w:rsidR="003E68BC" w:rsidRPr="00B253D4" w:rsidRDefault="0047604B" w:rsidP="00A04FB2">
      <w:pPr>
        <w:jc w:val="both"/>
        <w:rPr>
          <w:b/>
          <w:sz w:val="24"/>
          <w:szCs w:val="24"/>
          <w:u w:val="single"/>
          <w:lang w:val="en-US"/>
        </w:rPr>
      </w:pPr>
      <w:r>
        <w:fldChar w:fldCharType="end"/>
      </w:r>
      <w:r w:rsidR="00BD64B4">
        <w:br w:type="textWrapping" w:clear="all"/>
      </w:r>
      <w:r w:rsidR="005F3C56">
        <w:rPr>
          <w:b/>
          <w:sz w:val="24"/>
          <w:szCs w:val="24"/>
          <w:u w:val="single"/>
          <w:lang w:val="en-US"/>
        </w:rPr>
        <w:lastRenderedPageBreak/>
        <w:t>In Detail</w:t>
      </w:r>
      <w:r w:rsidR="00A04FB2" w:rsidRPr="00B253D4">
        <w:rPr>
          <w:b/>
          <w:sz w:val="24"/>
          <w:szCs w:val="24"/>
          <w:u w:val="single"/>
          <w:lang w:val="en-US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645"/>
        <w:gridCol w:w="10947"/>
      </w:tblGrid>
      <w:tr w:rsidR="00A53D43" w:rsidRPr="000A60CA" w:rsidTr="001344E5">
        <w:tc>
          <w:tcPr>
            <w:tcW w:w="1582" w:type="dxa"/>
            <w:shd w:val="clear" w:color="auto" w:fill="auto"/>
          </w:tcPr>
          <w:p w:rsidR="00A53D43" w:rsidRPr="008B3592" w:rsidRDefault="00B55219" w:rsidP="00242A2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B3592">
              <w:rPr>
                <w:b/>
                <w:sz w:val="24"/>
                <w:szCs w:val="24"/>
                <w:lang w:val="en-US"/>
              </w:rPr>
              <w:t>Thematics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A53D43" w:rsidRPr="008B3592" w:rsidRDefault="00A53D43" w:rsidP="00242A2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947" w:type="dxa"/>
          </w:tcPr>
          <w:p w:rsidR="00A53D43" w:rsidRPr="008B3592" w:rsidRDefault="00A53D43" w:rsidP="00242A2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B3592">
              <w:rPr>
                <w:b/>
                <w:sz w:val="24"/>
                <w:szCs w:val="24"/>
                <w:lang w:val="en-US"/>
              </w:rPr>
              <w:t>Adaptations made</w:t>
            </w:r>
            <w:r w:rsidR="00583753" w:rsidRPr="008B3592">
              <w:rPr>
                <w:b/>
                <w:sz w:val="24"/>
                <w:szCs w:val="24"/>
                <w:lang w:val="en-US"/>
              </w:rPr>
              <w:t xml:space="preserve"> in the TFF</w:t>
            </w:r>
          </w:p>
        </w:tc>
      </w:tr>
      <w:tr w:rsidR="00B55219" w:rsidRPr="00B253D4" w:rsidTr="001344E5">
        <w:tc>
          <w:tcPr>
            <w:tcW w:w="3227" w:type="dxa"/>
            <w:gridSpan w:val="2"/>
            <w:shd w:val="clear" w:color="auto" w:fill="auto"/>
          </w:tcPr>
          <w:p w:rsidR="00B55219" w:rsidRDefault="00B55219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Chap 1</w:t>
            </w:r>
          </w:p>
          <w:p w:rsidR="00B55219" w:rsidRPr="000F1AB9" w:rsidRDefault="00B55219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Situation Analysis</w:t>
            </w:r>
          </w:p>
        </w:tc>
        <w:tc>
          <w:tcPr>
            <w:tcW w:w="10947" w:type="dxa"/>
          </w:tcPr>
          <w:p w:rsidR="00B55219" w:rsidRDefault="00B55219" w:rsidP="00B253D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Executive summary + Analytical record :  Amount of budget has been adapted to 13.5 M° (instead of 16.5M°) </w:t>
            </w:r>
            <w:r w:rsidR="0006227D">
              <w:rPr>
                <w:sz w:val="24"/>
                <w:szCs w:val="24"/>
                <w:lang w:val="en-US"/>
              </w:rPr>
              <w:t xml:space="preserve">for </w:t>
            </w:r>
            <w:r w:rsidR="002713CF">
              <w:rPr>
                <w:sz w:val="24"/>
                <w:szCs w:val="24"/>
                <w:lang w:val="en-US"/>
              </w:rPr>
              <w:t>Intervention</w:t>
            </w:r>
            <w:r>
              <w:rPr>
                <w:sz w:val="24"/>
                <w:szCs w:val="24"/>
                <w:lang w:val="en-US"/>
              </w:rPr>
              <w:t xml:space="preserve"> 1 </w:t>
            </w:r>
            <w:r w:rsidR="0006227D">
              <w:rPr>
                <w:sz w:val="24"/>
                <w:szCs w:val="24"/>
                <w:lang w:val="en-US"/>
              </w:rPr>
              <w:t xml:space="preserve">(RDSP ECD) </w:t>
            </w:r>
            <w:r>
              <w:rPr>
                <w:sz w:val="24"/>
                <w:szCs w:val="24"/>
                <w:lang w:val="en-US"/>
              </w:rPr>
              <w:t xml:space="preserve">and 14.5 M° </w:t>
            </w:r>
            <w:r w:rsidR="00B253D4">
              <w:rPr>
                <w:sz w:val="24"/>
                <w:szCs w:val="24"/>
                <w:lang w:val="en-US"/>
              </w:rPr>
              <w:t xml:space="preserve">(instead of 11.5 M°) </w:t>
            </w:r>
            <w:r>
              <w:rPr>
                <w:sz w:val="24"/>
                <w:szCs w:val="24"/>
                <w:lang w:val="en-US"/>
              </w:rPr>
              <w:t>f</w:t>
            </w:r>
            <w:r w:rsidR="0006227D">
              <w:rPr>
                <w:sz w:val="24"/>
                <w:szCs w:val="24"/>
                <w:lang w:val="en-US"/>
              </w:rPr>
              <w:t xml:space="preserve">or </w:t>
            </w:r>
            <w:r w:rsidR="002713CF">
              <w:rPr>
                <w:sz w:val="24"/>
                <w:szCs w:val="24"/>
                <w:lang w:val="en-US"/>
              </w:rPr>
              <w:t>Intervention</w:t>
            </w:r>
            <w:r>
              <w:rPr>
                <w:sz w:val="24"/>
                <w:szCs w:val="24"/>
                <w:lang w:val="en-US"/>
              </w:rPr>
              <w:t xml:space="preserve"> 2</w:t>
            </w:r>
            <w:r w:rsidR="0006227D">
              <w:rPr>
                <w:sz w:val="24"/>
                <w:szCs w:val="24"/>
                <w:lang w:val="en-US"/>
              </w:rPr>
              <w:t xml:space="preserve"> (RDSP DDP)</w:t>
            </w:r>
            <w:r w:rsidR="00B253D4">
              <w:rPr>
                <w:sz w:val="24"/>
                <w:szCs w:val="24"/>
                <w:lang w:val="en-US"/>
              </w:rPr>
              <w:t>.</w:t>
            </w:r>
            <w:r w:rsidR="000622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Total for both </w:t>
            </w:r>
            <w:r w:rsidR="002713CF">
              <w:rPr>
                <w:sz w:val="24"/>
                <w:szCs w:val="24"/>
                <w:lang w:val="en-US"/>
              </w:rPr>
              <w:t>interventions</w:t>
            </w:r>
            <w:r>
              <w:rPr>
                <w:sz w:val="24"/>
                <w:szCs w:val="24"/>
                <w:lang w:val="en-US"/>
              </w:rPr>
              <w:t xml:space="preserve"> remains 28 M°.</w:t>
            </w:r>
          </w:p>
        </w:tc>
      </w:tr>
      <w:tr w:rsidR="00A53D43" w:rsidRPr="000A60CA" w:rsidTr="001344E5">
        <w:tc>
          <w:tcPr>
            <w:tcW w:w="1582" w:type="dxa"/>
            <w:shd w:val="clear" w:color="auto" w:fill="auto"/>
          </w:tcPr>
          <w:p w:rsidR="00A53D43" w:rsidRPr="000F1AB9" w:rsidRDefault="00B55219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CB</w:t>
            </w:r>
          </w:p>
        </w:tc>
        <w:tc>
          <w:tcPr>
            <w:tcW w:w="1645" w:type="dxa"/>
            <w:shd w:val="clear" w:color="auto" w:fill="auto"/>
          </w:tcPr>
          <w:p w:rsidR="00A53D43" w:rsidRPr="000F1AB9" w:rsidRDefault="00376C1E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P.15</w:t>
            </w:r>
            <w:r w:rsidR="00F1074C">
              <w:rPr>
                <w:sz w:val="24"/>
                <w:szCs w:val="24"/>
                <w:lang w:val="en-US"/>
              </w:rPr>
              <w:t>-18</w:t>
            </w:r>
          </w:p>
        </w:tc>
        <w:tc>
          <w:tcPr>
            <w:tcW w:w="10947" w:type="dxa"/>
          </w:tcPr>
          <w:p w:rsidR="00CD0093" w:rsidRDefault="00376C1E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Small clarification on MINALOC, LODA mandate and </w:t>
            </w:r>
            <w:proofErr w:type="spellStart"/>
            <w:r>
              <w:rPr>
                <w:sz w:val="24"/>
                <w:szCs w:val="24"/>
                <w:lang w:val="en-US"/>
              </w:rPr>
              <w:t>Ralga’s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new strategic plan which demonstrate further alignment of RDSP with key strategies.</w:t>
            </w:r>
            <w:r w:rsidR="00F1074C">
              <w:rPr>
                <w:sz w:val="24"/>
                <w:szCs w:val="24"/>
                <w:lang w:val="en-US"/>
              </w:rPr>
              <w:t xml:space="preserve"> Also on JADF and GIZ support to LGI and LGCB PF.</w:t>
            </w:r>
          </w:p>
        </w:tc>
      </w:tr>
      <w:tr w:rsidR="00A53D43" w:rsidRPr="000A60CA" w:rsidTr="001344E5">
        <w:tc>
          <w:tcPr>
            <w:tcW w:w="1582" w:type="dxa"/>
            <w:shd w:val="clear" w:color="auto" w:fill="auto"/>
          </w:tcPr>
          <w:p w:rsidR="00A53D43" w:rsidRPr="000F1AB9" w:rsidRDefault="00B55219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LED</w:t>
            </w:r>
          </w:p>
        </w:tc>
        <w:tc>
          <w:tcPr>
            <w:tcW w:w="1645" w:type="dxa"/>
            <w:shd w:val="clear" w:color="auto" w:fill="auto"/>
          </w:tcPr>
          <w:p w:rsidR="00A53D43" w:rsidRPr="000F1AB9" w:rsidRDefault="00B55219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P.25</w:t>
            </w:r>
          </w:p>
        </w:tc>
        <w:tc>
          <w:tcPr>
            <w:tcW w:w="10947" w:type="dxa"/>
          </w:tcPr>
          <w:p w:rsidR="00A53D43" w:rsidRDefault="0006227D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Competitiveness</w:t>
            </w:r>
            <w:r w:rsidR="00B55219">
              <w:rPr>
                <w:sz w:val="24"/>
                <w:szCs w:val="24"/>
                <w:lang w:val="en-US"/>
              </w:rPr>
              <w:t xml:space="preserve"> Facility is no longer in the scope of this </w:t>
            </w:r>
            <w:r w:rsidR="002713CF">
              <w:rPr>
                <w:sz w:val="24"/>
                <w:szCs w:val="24"/>
                <w:lang w:val="en-US"/>
              </w:rPr>
              <w:t>intervention</w:t>
            </w:r>
            <w:r w:rsidR="00B55219">
              <w:rPr>
                <w:sz w:val="24"/>
                <w:szCs w:val="24"/>
                <w:lang w:val="en-US"/>
              </w:rPr>
              <w:t xml:space="preserve"> 1 but can be tested in </w:t>
            </w:r>
            <w:r w:rsidR="002713CF">
              <w:rPr>
                <w:sz w:val="24"/>
                <w:szCs w:val="24"/>
                <w:lang w:val="en-US"/>
              </w:rPr>
              <w:t>intervention</w:t>
            </w:r>
            <w:r w:rsidR="00B55219">
              <w:rPr>
                <w:sz w:val="24"/>
                <w:szCs w:val="24"/>
                <w:lang w:val="en-US"/>
              </w:rPr>
              <w:t xml:space="preserve"> 2.</w:t>
            </w:r>
          </w:p>
        </w:tc>
      </w:tr>
      <w:tr w:rsidR="00A53D43" w:rsidRPr="000A60CA" w:rsidTr="001344E5">
        <w:tc>
          <w:tcPr>
            <w:tcW w:w="1582" w:type="dxa"/>
            <w:shd w:val="clear" w:color="auto" w:fill="auto"/>
          </w:tcPr>
          <w:p w:rsidR="00A53D43" w:rsidRPr="000F1AB9" w:rsidRDefault="00A53D43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A53D43" w:rsidRPr="000F1AB9" w:rsidRDefault="00A53D43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947" w:type="dxa"/>
          </w:tcPr>
          <w:p w:rsidR="00EE2C54" w:rsidRDefault="00B55219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Role of </w:t>
            </w:r>
            <w:proofErr w:type="spellStart"/>
            <w:r>
              <w:rPr>
                <w:sz w:val="24"/>
                <w:szCs w:val="24"/>
                <w:lang w:val="en-US"/>
              </w:rPr>
              <w:t>Ralga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 LED</w:t>
            </w:r>
          </w:p>
        </w:tc>
      </w:tr>
      <w:tr w:rsidR="00B55219" w:rsidRPr="00ED31F6" w:rsidTr="001344E5">
        <w:tc>
          <w:tcPr>
            <w:tcW w:w="3227" w:type="dxa"/>
            <w:gridSpan w:val="2"/>
            <w:shd w:val="clear" w:color="auto" w:fill="auto"/>
          </w:tcPr>
          <w:p w:rsidR="00933843" w:rsidRDefault="00B55219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Chap 2 </w:t>
            </w:r>
          </w:p>
          <w:p w:rsidR="00B55219" w:rsidRDefault="00B55219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Strategic orientations</w:t>
            </w:r>
          </w:p>
        </w:tc>
        <w:tc>
          <w:tcPr>
            <w:tcW w:w="10947" w:type="dxa"/>
          </w:tcPr>
          <w:p w:rsidR="00B55219" w:rsidRDefault="00B55219" w:rsidP="008B3592">
            <w:pPr>
              <w:pStyle w:val="BTCBodyText"/>
              <w:rPr>
                <w:sz w:val="24"/>
                <w:szCs w:val="24"/>
                <w:lang w:val="en-US"/>
              </w:rPr>
            </w:pPr>
          </w:p>
        </w:tc>
      </w:tr>
      <w:tr w:rsidR="00B55219" w:rsidRPr="000A60CA" w:rsidTr="001344E5">
        <w:tc>
          <w:tcPr>
            <w:tcW w:w="1582" w:type="dxa"/>
            <w:shd w:val="clear" w:color="auto" w:fill="auto"/>
          </w:tcPr>
          <w:p w:rsidR="00B55219" w:rsidRDefault="00B55219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B55219" w:rsidRDefault="00933843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P.31</w:t>
            </w:r>
            <w:r w:rsidR="0006227D">
              <w:rPr>
                <w:sz w:val="24"/>
                <w:szCs w:val="24"/>
                <w:lang w:val="en-US"/>
              </w:rPr>
              <w:t>-35</w:t>
            </w:r>
          </w:p>
        </w:tc>
        <w:tc>
          <w:tcPr>
            <w:tcW w:w="10947" w:type="dxa"/>
          </w:tcPr>
          <w:p w:rsidR="00B55219" w:rsidRDefault="0006227D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Switches are made to take into account that RDSP DDP (not RDSP ECD</w:t>
            </w:r>
            <w:r w:rsidR="00933843" w:rsidRPr="00933843">
              <w:rPr>
                <w:sz w:val="24"/>
                <w:szCs w:val="24"/>
                <w:lang w:val="en-US"/>
              </w:rPr>
              <w:t xml:space="preserve">) will include </w:t>
            </w:r>
            <w:r w:rsidR="001539D2">
              <w:rPr>
                <w:sz w:val="24"/>
                <w:szCs w:val="24"/>
                <w:lang w:val="en-US"/>
              </w:rPr>
              <w:t>and implement</w:t>
            </w:r>
            <w:r w:rsidR="00933843" w:rsidRPr="00933843">
              <w:rPr>
                <w:sz w:val="24"/>
                <w:szCs w:val="24"/>
                <w:lang w:val="en-US"/>
              </w:rPr>
              <w:t xml:space="preserve"> a “Local Competitiveness Facility, pilot initiative to support LED partnerships at District level</w:t>
            </w:r>
            <w:r>
              <w:rPr>
                <w:sz w:val="24"/>
                <w:szCs w:val="24"/>
                <w:lang w:val="en-US"/>
              </w:rPr>
              <w:t>”</w:t>
            </w:r>
            <w:r w:rsidR="001539D2">
              <w:rPr>
                <w:sz w:val="24"/>
                <w:szCs w:val="24"/>
                <w:lang w:val="en-US"/>
              </w:rPr>
              <w:t>.</w:t>
            </w:r>
          </w:p>
        </w:tc>
      </w:tr>
      <w:tr w:rsidR="00B55219" w:rsidRPr="000A60CA" w:rsidTr="001344E5">
        <w:tc>
          <w:tcPr>
            <w:tcW w:w="1582" w:type="dxa"/>
            <w:shd w:val="clear" w:color="auto" w:fill="auto"/>
          </w:tcPr>
          <w:p w:rsidR="00B55219" w:rsidRDefault="00B55219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B55219" w:rsidRDefault="0006227D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P.37</w:t>
            </w:r>
            <w:r w:rsidR="002713CF">
              <w:rPr>
                <w:sz w:val="24"/>
                <w:szCs w:val="24"/>
                <w:lang w:val="en-US"/>
              </w:rPr>
              <w:t>-38</w:t>
            </w:r>
          </w:p>
        </w:tc>
        <w:tc>
          <w:tcPr>
            <w:tcW w:w="10947" w:type="dxa"/>
          </w:tcPr>
          <w:p w:rsidR="00B55219" w:rsidRDefault="0006227D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6227D">
              <w:rPr>
                <w:sz w:val="24"/>
                <w:szCs w:val="24"/>
                <w:lang w:val="en-US"/>
              </w:rPr>
              <w:t xml:space="preserve">Double-track </w:t>
            </w:r>
            <w:r w:rsidR="002713CF">
              <w:rPr>
                <w:sz w:val="24"/>
                <w:szCs w:val="24"/>
                <w:lang w:val="en-US"/>
              </w:rPr>
              <w:t>strategy for LED</w:t>
            </w:r>
            <w:r>
              <w:rPr>
                <w:sz w:val="24"/>
                <w:szCs w:val="24"/>
                <w:lang w:val="en-US"/>
              </w:rPr>
              <w:t xml:space="preserve"> is </w:t>
            </w:r>
            <w:r w:rsidR="002713CF">
              <w:rPr>
                <w:sz w:val="24"/>
                <w:szCs w:val="24"/>
                <w:lang w:val="en-US"/>
              </w:rPr>
              <w:t>describing</w:t>
            </w:r>
            <w:r>
              <w:rPr>
                <w:sz w:val="24"/>
                <w:szCs w:val="24"/>
                <w:lang w:val="en-US"/>
              </w:rPr>
              <w:t xml:space="preserve"> how </w:t>
            </w:r>
            <w:r w:rsidR="002713CF">
              <w:rPr>
                <w:sz w:val="24"/>
                <w:szCs w:val="24"/>
                <w:lang w:val="en-US"/>
              </w:rPr>
              <w:t>t</w:t>
            </w:r>
            <w:r w:rsidR="002713CF" w:rsidRPr="002713CF">
              <w:rPr>
                <w:sz w:val="24"/>
                <w:szCs w:val="24"/>
                <w:lang w:val="en-US"/>
              </w:rPr>
              <w:t>he enabling environment for the implementation of a local competitiveness Facility will be prepared through the intervention (RDSP-ECD) and the financial support for implementing the LED projects will be provided through a specific result under RDSP-DDP.</w:t>
            </w:r>
          </w:p>
        </w:tc>
      </w:tr>
      <w:tr w:rsidR="00B55219" w:rsidRPr="000A60CA" w:rsidTr="001344E5">
        <w:tc>
          <w:tcPr>
            <w:tcW w:w="1582" w:type="dxa"/>
            <w:shd w:val="clear" w:color="auto" w:fill="auto"/>
          </w:tcPr>
          <w:p w:rsidR="00B55219" w:rsidRDefault="00B55219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B55219" w:rsidRDefault="008E22FB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P.42</w:t>
            </w:r>
          </w:p>
        </w:tc>
        <w:tc>
          <w:tcPr>
            <w:tcW w:w="10947" w:type="dxa"/>
          </w:tcPr>
          <w:p w:rsidR="00B55219" w:rsidRDefault="007D1343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</w:t>
            </w:r>
            <w:r w:rsidR="001344E5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more details on how RDSP will work closely with M&amp;E actors of the decentralization sector</w:t>
            </w:r>
            <w:r w:rsidR="001344E5">
              <w:rPr>
                <w:sz w:val="24"/>
                <w:szCs w:val="24"/>
                <w:lang w:val="en-US"/>
              </w:rPr>
              <w:t>.</w:t>
            </w:r>
          </w:p>
        </w:tc>
      </w:tr>
      <w:tr w:rsidR="009C1A94" w:rsidRPr="00ED31F6" w:rsidTr="001344E5">
        <w:tc>
          <w:tcPr>
            <w:tcW w:w="3227" w:type="dxa"/>
            <w:gridSpan w:val="2"/>
            <w:shd w:val="clear" w:color="auto" w:fill="auto"/>
          </w:tcPr>
          <w:p w:rsidR="009C1A94" w:rsidRDefault="009C1A94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Chap 3</w:t>
            </w:r>
          </w:p>
          <w:p w:rsidR="009C1A94" w:rsidRDefault="009C1A94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Intervention framework</w:t>
            </w:r>
          </w:p>
        </w:tc>
        <w:tc>
          <w:tcPr>
            <w:tcW w:w="10947" w:type="dxa"/>
          </w:tcPr>
          <w:p w:rsidR="009C1A94" w:rsidRDefault="009C1A94" w:rsidP="008B3592">
            <w:pPr>
              <w:pStyle w:val="BTCBodyText"/>
              <w:rPr>
                <w:sz w:val="24"/>
                <w:szCs w:val="24"/>
                <w:lang w:val="en-US"/>
              </w:rPr>
            </w:pPr>
          </w:p>
        </w:tc>
      </w:tr>
      <w:tr w:rsidR="008E22FB" w:rsidRPr="000A60CA" w:rsidTr="001344E5">
        <w:tc>
          <w:tcPr>
            <w:tcW w:w="1582" w:type="dxa"/>
            <w:shd w:val="clear" w:color="auto" w:fill="auto"/>
          </w:tcPr>
          <w:p w:rsidR="008E22FB" w:rsidRDefault="008E22FB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8E22FB" w:rsidRPr="00E82264" w:rsidRDefault="009C1A94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P.45</w:t>
            </w:r>
            <w:r w:rsidR="00E82264">
              <w:rPr>
                <w:sz w:val="24"/>
                <w:szCs w:val="24"/>
                <w:lang w:val="en-US"/>
              </w:rPr>
              <w:t>-47</w:t>
            </w:r>
          </w:p>
        </w:tc>
        <w:tc>
          <w:tcPr>
            <w:tcW w:w="10947" w:type="dxa"/>
          </w:tcPr>
          <w:p w:rsidR="008E22FB" w:rsidRDefault="001344E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 is explained how Intervention 1 will have to create</w:t>
            </w:r>
            <w:r w:rsidRPr="001344E5">
              <w:rPr>
                <w:sz w:val="24"/>
                <w:szCs w:val="24"/>
                <w:lang w:val="en-US"/>
              </w:rPr>
              <w:t xml:space="preserve"> an enabling environment for Economic Partnerships</w:t>
            </w:r>
            <w:r w:rsidR="00E82264">
              <w:rPr>
                <w:sz w:val="24"/>
                <w:szCs w:val="24"/>
                <w:lang w:val="en-US"/>
              </w:rPr>
              <w:t>.</w:t>
            </w:r>
            <w:r w:rsidR="008A1D07">
              <w:rPr>
                <w:sz w:val="24"/>
                <w:szCs w:val="24"/>
                <w:lang w:val="en-US"/>
              </w:rPr>
              <w:t xml:space="preserve"> It’ll have the</w:t>
            </w:r>
            <w:r w:rsidR="00E82264">
              <w:rPr>
                <w:sz w:val="24"/>
                <w:szCs w:val="24"/>
                <w:lang w:val="en-US"/>
              </w:rPr>
              <w:t xml:space="preserve"> </w:t>
            </w:r>
            <w:r w:rsidR="008A1D07">
              <w:rPr>
                <w:sz w:val="24"/>
                <w:szCs w:val="24"/>
                <w:lang w:val="en-US"/>
              </w:rPr>
              <w:t>r</w:t>
            </w:r>
            <w:r w:rsidR="00E82264">
              <w:rPr>
                <w:sz w:val="24"/>
                <w:szCs w:val="24"/>
                <w:lang w:val="en-US"/>
              </w:rPr>
              <w:t xml:space="preserve">esponsibility to coordinate preparatory activities to set the </w:t>
            </w:r>
            <w:r w:rsidR="008A1D07">
              <w:rPr>
                <w:sz w:val="24"/>
                <w:szCs w:val="24"/>
                <w:lang w:val="en-US"/>
              </w:rPr>
              <w:t>Local Competitiveness Facility</w:t>
            </w:r>
            <w:r w:rsidR="0086255E">
              <w:rPr>
                <w:sz w:val="24"/>
                <w:szCs w:val="24"/>
                <w:lang w:val="en-US"/>
              </w:rPr>
              <w:t>.</w:t>
            </w:r>
            <w:r w:rsidR="00E82264">
              <w:rPr>
                <w:sz w:val="24"/>
                <w:szCs w:val="24"/>
                <w:lang w:val="en-US"/>
              </w:rPr>
              <w:t xml:space="preserve"> But the funding for</w:t>
            </w:r>
            <w:r w:rsidRPr="001344E5">
              <w:rPr>
                <w:sz w:val="24"/>
                <w:szCs w:val="24"/>
                <w:lang w:val="en-US"/>
              </w:rPr>
              <w:t xml:space="preserve"> investment is not foreseen in the </w:t>
            </w:r>
            <w:r>
              <w:rPr>
                <w:sz w:val="24"/>
                <w:szCs w:val="24"/>
                <w:lang w:val="en-US"/>
              </w:rPr>
              <w:t>intervention 1 but in intervention 2.</w:t>
            </w:r>
          </w:p>
        </w:tc>
      </w:tr>
      <w:tr w:rsidR="008E22FB" w:rsidRPr="000A60CA" w:rsidTr="001344E5">
        <w:tc>
          <w:tcPr>
            <w:tcW w:w="1582" w:type="dxa"/>
            <w:shd w:val="clear" w:color="auto" w:fill="auto"/>
          </w:tcPr>
          <w:p w:rsidR="008E22FB" w:rsidRDefault="008E22FB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8E22FB" w:rsidRDefault="008A1D07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P.49</w:t>
            </w:r>
          </w:p>
        </w:tc>
        <w:tc>
          <w:tcPr>
            <w:tcW w:w="10947" w:type="dxa"/>
          </w:tcPr>
          <w:p w:rsidR="008E22FB" w:rsidRDefault="00BD64B4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Explicits</w:t>
            </w:r>
            <w:proofErr w:type="spellEnd"/>
            <w:r w:rsidR="00E91615">
              <w:rPr>
                <w:sz w:val="24"/>
                <w:szCs w:val="24"/>
                <w:lang w:val="en-US"/>
              </w:rPr>
              <w:t xml:space="preserve"> the importance to have technical assistance dedicated to fact-based lessons learned</w:t>
            </w:r>
          </w:p>
        </w:tc>
      </w:tr>
      <w:tr w:rsidR="00E91615" w:rsidRPr="000A60CA" w:rsidTr="001344E5">
        <w:tc>
          <w:tcPr>
            <w:tcW w:w="1582" w:type="dxa"/>
            <w:shd w:val="clear" w:color="auto" w:fill="auto"/>
          </w:tcPr>
          <w:p w:rsidR="00E91615" w:rsidRDefault="00E9161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E91615" w:rsidRDefault="001D2B93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P.52</w:t>
            </w:r>
          </w:p>
        </w:tc>
        <w:tc>
          <w:tcPr>
            <w:tcW w:w="10947" w:type="dxa"/>
          </w:tcPr>
          <w:p w:rsidR="00E91615" w:rsidRDefault="00BD64B4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Explicits</w:t>
            </w:r>
            <w:proofErr w:type="spellEnd"/>
            <w:r w:rsidR="001D2B93">
              <w:rPr>
                <w:sz w:val="24"/>
                <w:szCs w:val="24"/>
                <w:lang w:val="en-US"/>
              </w:rPr>
              <w:t xml:space="preserve"> how to </w:t>
            </w:r>
            <w:r w:rsidR="0086255E">
              <w:rPr>
                <w:sz w:val="24"/>
                <w:szCs w:val="24"/>
                <w:lang w:val="en-US"/>
              </w:rPr>
              <w:t>strengthen</w:t>
            </w:r>
            <w:r w:rsidR="0086255E" w:rsidRPr="0086255E">
              <w:rPr>
                <w:sz w:val="24"/>
                <w:szCs w:val="24"/>
                <w:lang w:val="en-US"/>
              </w:rPr>
              <w:t xml:space="preserve"> organizational processes of RGB to perform on its mandate</w:t>
            </w:r>
            <w:r w:rsidR="008A1DA4">
              <w:rPr>
                <w:sz w:val="24"/>
                <w:szCs w:val="24"/>
                <w:lang w:val="en-US"/>
              </w:rPr>
              <w:t>.</w:t>
            </w:r>
            <w:r w:rsidR="008A1DA4" w:rsidRPr="008A1DA4">
              <w:rPr>
                <w:lang w:val="en-US"/>
              </w:rPr>
              <w:t xml:space="preserve"> </w:t>
            </w:r>
            <w:r w:rsidR="008A1DA4">
              <w:rPr>
                <w:sz w:val="24"/>
                <w:szCs w:val="24"/>
                <w:lang w:val="en-US"/>
              </w:rPr>
              <w:t>R</w:t>
            </w:r>
            <w:r w:rsidR="008A1DA4" w:rsidRPr="008A1DA4">
              <w:rPr>
                <w:sz w:val="24"/>
                <w:szCs w:val="24"/>
                <w:lang w:val="en-US"/>
              </w:rPr>
              <w:t>emaining challenges should be addressed in terms of procedures, workflows and appropriate tools</w:t>
            </w:r>
            <w:r w:rsidR="008A1DA4">
              <w:rPr>
                <w:sz w:val="24"/>
                <w:szCs w:val="24"/>
                <w:lang w:val="en-US"/>
              </w:rPr>
              <w:t>.</w:t>
            </w:r>
          </w:p>
        </w:tc>
      </w:tr>
      <w:tr w:rsidR="00E91615" w:rsidRPr="000A60CA" w:rsidTr="00E228C2">
        <w:tc>
          <w:tcPr>
            <w:tcW w:w="1582" w:type="dxa"/>
            <w:shd w:val="clear" w:color="auto" w:fill="auto"/>
          </w:tcPr>
          <w:p w:rsidR="00E91615" w:rsidRDefault="00E9161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E91615" w:rsidRDefault="00E228C2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P.54</w:t>
            </w:r>
          </w:p>
        </w:tc>
        <w:tc>
          <w:tcPr>
            <w:tcW w:w="10947" w:type="dxa"/>
            <w:shd w:val="clear" w:color="auto" w:fill="auto"/>
          </w:tcPr>
          <w:p w:rsidR="00E91615" w:rsidRDefault="00E228C2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 </w:t>
            </w:r>
            <w:r w:rsidRPr="00E228C2">
              <w:rPr>
                <w:sz w:val="24"/>
                <w:szCs w:val="24"/>
                <w:lang w:val="en-US"/>
              </w:rPr>
              <w:t>Performance Assessments and demand driven CB</w:t>
            </w:r>
            <w:r>
              <w:rPr>
                <w:sz w:val="24"/>
                <w:szCs w:val="24"/>
                <w:lang w:val="en-US"/>
              </w:rPr>
              <w:t>, it describes conditions of success to fund CB activities through basket fund.</w:t>
            </w:r>
          </w:p>
        </w:tc>
      </w:tr>
      <w:tr w:rsidR="00E91615" w:rsidRPr="000A60CA" w:rsidTr="00E228C2">
        <w:trPr>
          <w:trHeight w:val="71"/>
        </w:trPr>
        <w:tc>
          <w:tcPr>
            <w:tcW w:w="1582" w:type="dxa"/>
            <w:shd w:val="clear" w:color="auto" w:fill="auto"/>
          </w:tcPr>
          <w:p w:rsidR="00E91615" w:rsidRDefault="00E9161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E91615" w:rsidRDefault="00E228C2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P.57</w:t>
            </w:r>
          </w:p>
        </w:tc>
        <w:tc>
          <w:tcPr>
            <w:tcW w:w="10947" w:type="dxa"/>
          </w:tcPr>
          <w:p w:rsidR="00E91615" w:rsidRDefault="00E228C2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investment budget for fund of Local Competitiveness Facility (switched towards intervention DDP)</w:t>
            </w:r>
          </w:p>
        </w:tc>
      </w:tr>
      <w:tr w:rsidR="00E91615" w:rsidRPr="000A60CA" w:rsidTr="001344E5">
        <w:tc>
          <w:tcPr>
            <w:tcW w:w="1582" w:type="dxa"/>
            <w:shd w:val="clear" w:color="auto" w:fill="auto"/>
          </w:tcPr>
          <w:p w:rsidR="00E91615" w:rsidRDefault="00E9161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E91615" w:rsidRDefault="00266B3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P.59-</w:t>
            </w:r>
            <w:r w:rsidR="00CA4BA9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0947" w:type="dxa"/>
          </w:tcPr>
          <w:p w:rsidR="00E91615" w:rsidRDefault="00266B3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 LED Pilots projects, shows that Intervention 1 will be limited to the preparation (Phases 1 to 5) of an </w:t>
            </w:r>
            <w:r>
              <w:rPr>
                <w:sz w:val="24"/>
                <w:szCs w:val="24"/>
                <w:lang w:val="en-US"/>
              </w:rPr>
              <w:lastRenderedPageBreak/>
              <w:t>enabling environment in order to prepare the funding through Intervention 2</w:t>
            </w:r>
            <w:r w:rsidR="00CA4BA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A4BA9">
              <w:rPr>
                <w:sz w:val="24"/>
                <w:szCs w:val="24"/>
                <w:lang w:val="en-US"/>
              </w:rPr>
              <w:t>Sutdy</w:t>
            </w:r>
            <w:proofErr w:type="spellEnd"/>
            <w:r w:rsidR="00CA4BA9">
              <w:rPr>
                <w:sz w:val="24"/>
                <w:szCs w:val="24"/>
                <w:lang w:val="en-US"/>
              </w:rPr>
              <w:t xml:space="preserve"> on appetite of the sector for such facility remains in the intervention 1</w:t>
            </w:r>
          </w:p>
        </w:tc>
      </w:tr>
      <w:tr w:rsidR="00E91615" w:rsidRPr="000A60CA" w:rsidTr="003B586E">
        <w:trPr>
          <w:trHeight w:val="111"/>
        </w:trPr>
        <w:tc>
          <w:tcPr>
            <w:tcW w:w="1582" w:type="dxa"/>
            <w:shd w:val="clear" w:color="auto" w:fill="auto"/>
          </w:tcPr>
          <w:p w:rsidR="00E91615" w:rsidRDefault="00E9161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E91615" w:rsidRDefault="003B586E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P.65</w:t>
            </w:r>
          </w:p>
        </w:tc>
        <w:tc>
          <w:tcPr>
            <w:tcW w:w="10947" w:type="dxa"/>
          </w:tcPr>
          <w:p w:rsidR="00E91615" w:rsidRDefault="003B586E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Explain how to s</w:t>
            </w:r>
            <w:r w:rsidRPr="003B586E">
              <w:rPr>
                <w:sz w:val="24"/>
                <w:szCs w:val="24"/>
                <w:lang w:val="en-US"/>
              </w:rPr>
              <w:t>upport to the implementation of RALGA’s role : Strengthening organizational processes of RALGA to perform on its mandate</w:t>
            </w:r>
          </w:p>
        </w:tc>
      </w:tr>
      <w:tr w:rsidR="00E91615" w:rsidRPr="000A60CA" w:rsidTr="001344E5">
        <w:tc>
          <w:tcPr>
            <w:tcW w:w="1582" w:type="dxa"/>
            <w:shd w:val="clear" w:color="auto" w:fill="auto"/>
          </w:tcPr>
          <w:p w:rsidR="00E91615" w:rsidRDefault="00E9161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E91615" w:rsidRDefault="00624C10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P.70</w:t>
            </w:r>
          </w:p>
        </w:tc>
        <w:tc>
          <w:tcPr>
            <w:tcW w:w="10947" w:type="dxa"/>
          </w:tcPr>
          <w:p w:rsidR="00E91615" w:rsidRDefault="00624C10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Explains how </w:t>
            </w:r>
            <w:r w:rsidRPr="00624C10">
              <w:rPr>
                <w:sz w:val="24"/>
                <w:szCs w:val="24"/>
                <w:lang w:val="en-US"/>
              </w:rPr>
              <w:t>RDSP will associate RALGA as a reflection partner (and sounding board) which may contribut</w:t>
            </w:r>
            <w:r w:rsidR="00266C2B">
              <w:rPr>
                <w:sz w:val="24"/>
                <w:szCs w:val="24"/>
                <w:lang w:val="en-US"/>
              </w:rPr>
              <w:t>e to fine-tuning of the program</w:t>
            </w:r>
            <w:r w:rsidRPr="00624C10">
              <w:rPr>
                <w:sz w:val="24"/>
                <w:szCs w:val="24"/>
                <w:lang w:val="en-US"/>
              </w:rPr>
              <w:t>’s overall intervention strategies and in facilitating ownership at LG-level of initiatives and innovations supported by the RDSP-ECD</w:t>
            </w:r>
          </w:p>
        </w:tc>
      </w:tr>
      <w:tr w:rsidR="00E91615" w:rsidRPr="000A60CA" w:rsidTr="001344E5">
        <w:tc>
          <w:tcPr>
            <w:tcW w:w="1582" w:type="dxa"/>
            <w:shd w:val="clear" w:color="auto" w:fill="auto"/>
          </w:tcPr>
          <w:p w:rsidR="00E91615" w:rsidRDefault="00E9161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E91615" w:rsidRDefault="00C24D3A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P.73</w:t>
            </w:r>
          </w:p>
        </w:tc>
        <w:tc>
          <w:tcPr>
            <w:tcW w:w="10947" w:type="dxa"/>
          </w:tcPr>
          <w:p w:rsidR="00E91615" w:rsidRDefault="00C24D3A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Explains that there will no more OA since each have been conducted during formulation process</w:t>
            </w:r>
          </w:p>
        </w:tc>
      </w:tr>
      <w:tr w:rsidR="00E91615" w:rsidRPr="000A60CA" w:rsidTr="001344E5">
        <w:tc>
          <w:tcPr>
            <w:tcW w:w="1582" w:type="dxa"/>
            <w:shd w:val="clear" w:color="auto" w:fill="auto"/>
          </w:tcPr>
          <w:p w:rsidR="00E91615" w:rsidRDefault="00E9161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E91615" w:rsidRDefault="007905B7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P.74</w:t>
            </w:r>
          </w:p>
        </w:tc>
        <w:tc>
          <w:tcPr>
            <w:tcW w:w="10947" w:type="dxa"/>
          </w:tcPr>
          <w:p w:rsidR="00E91615" w:rsidRDefault="007905B7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Explains that CB NTA will be recruited soon enough - at the end of preparatory phase </w:t>
            </w:r>
          </w:p>
        </w:tc>
      </w:tr>
      <w:tr w:rsidR="00C24D3A" w:rsidRPr="000A60CA" w:rsidTr="001344E5">
        <w:tc>
          <w:tcPr>
            <w:tcW w:w="1582" w:type="dxa"/>
            <w:shd w:val="clear" w:color="auto" w:fill="auto"/>
          </w:tcPr>
          <w:p w:rsidR="00C24D3A" w:rsidRDefault="00C24D3A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C24D3A" w:rsidRDefault="007905B7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P.74</w:t>
            </w:r>
          </w:p>
        </w:tc>
        <w:tc>
          <w:tcPr>
            <w:tcW w:w="10947" w:type="dxa"/>
          </w:tcPr>
          <w:p w:rsidR="00C24D3A" w:rsidRDefault="007905B7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Shows that study on the modalities of the fun</w:t>
            </w:r>
            <w:r w:rsidR="007C18BE">
              <w:rPr>
                <w:sz w:val="24"/>
                <w:szCs w:val="24"/>
                <w:lang w:val="en-US"/>
              </w:rPr>
              <w:t>d is not to be conducted under I</w:t>
            </w:r>
            <w:r>
              <w:rPr>
                <w:sz w:val="24"/>
                <w:szCs w:val="24"/>
                <w:lang w:val="en-US"/>
              </w:rPr>
              <w:t>ntervention 1</w:t>
            </w:r>
          </w:p>
        </w:tc>
      </w:tr>
      <w:tr w:rsidR="00C24D3A" w:rsidRPr="000A60CA" w:rsidTr="001344E5">
        <w:tc>
          <w:tcPr>
            <w:tcW w:w="1582" w:type="dxa"/>
            <w:shd w:val="clear" w:color="auto" w:fill="auto"/>
          </w:tcPr>
          <w:p w:rsidR="00C24D3A" w:rsidRDefault="00C24D3A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C24D3A" w:rsidRDefault="007905B7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P.80</w:t>
            </w:r>
            <w:r w:rsidR="00B94210">
              <w:rPr>
                <w:sz w:val="24"/>
                <w:szCs w:val="24"/>
                <w:lang w:val="en-US"/>
              </w:rPr>
              <w:t>-84</w:t>
            </w:r>
          </w:p>
        </w:tc>
        <w:tc>
          <w:tcPr>
            <w:tcW w:w="10947" w:type="dxa"/>
          </w:tcPr>
          <w:p w:rsidR="00C24D3A" w:rsidRDefault="007905B7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Risk </w:t>
            </w:r>
            <w:r w:rsidR="00B94210">
              <w:rPr>
                <w:sz w:val="24"/>
                <w:szCs w:val="24"/>
                <w:lang w:val="en-US"/>
              </w:rPr>
              <w:t>linked LED pilot are</w:t>
            </w:r>
            <w:r w:rsidR="007C18BE">
              <w:rPr>
                <w:sz w:val="24"/>
                <w:szCs w:val="24"/>
                <w:lang w:val="en-US"/>
              </w:rPr>
              <w:t xml:space="preserve"> cancelled; will be mentioned in Intervention 2</w:t>
            </w:r>
          </w:p>
        </w:tc>
      </w:tr>
      <w:tr w:rsidR="00B94210" w:rsidRPr="00ED31F6" w:rsidTr="00242A22">
        <w:tc>
          <w:tcPr>
            <w:tcW w:w="3227" w:type="dxa"/>
            <w:gridSpan w:val="2"/>
            <w:shd w:val="clear" w:color="auto" w:fill="auto"/>
          </w:tcPr>
          <w:p w:rsidR="00B94210" w:rsidRDefault="00B94210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Chap 4</w:t>
            </w:r>
          </w:p>
          <w:p w:rsidR="00B94210" w:rsidRDefault="00266C2B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</w:t>
            </w:r>
            <w:r w:rsidR="00B94210">
              <w:rPr>
                <w:sz w:val="24"/>
                <w:szCs w:val="24"/>
                <w:lang w:val="en-US"/>
              </w:rPr>
              <w:t>ources</w:t>
            </w:r>
          </w:p>
        </w:tc>
        <w:tc>
          <w:tcPr>
            <w:tcW w:w="10947" w:type="dxa"/>
          </w:tcPr>
          <w:p w:rsidR="00B94210" w:rsidRDefault="00B94210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24D3A" w:rsidRPr="000A60CA" w:rsidTr="001344E5">
        <w:tc>
          <w:tcPr>
            <w:tcW w:w="1582" w:type="dxa"/>
            <w:shd w:val="clear" w:color="auto" w:fill="auto"/>
          </w:tcPr>
          <w:p w:rsidR="00C24D3A" w:rsidRDefault="00C24D3A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C24D3A" w:rsidRDefault="005B095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P.85</w:t>
            </w:r>
          </w:p>
        </w:tc>
        <w:tc>
          <w:tcPr>
            <w:tcW w:w="10947" w:type="dxa"/>
          </w:tcPr>
          <w:p w:rsidR="005B095C" w:rsidRDefault="005B095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Budget has been adapted with slight</w:t>
            </w:r>
            <w:r w:rsidR="00BD64B4">
              <w:rPr>
                <w:sz w:val="24"/>
                <w:szCs w:val="24"/>
                <w:lang w:val="en-US"/>
              </w:rPr>
              <w:t>er</w:t>
            </w:r>
            <w:r>
              <w:rPr>
                <w:sz w:val="24"/>
                <w:szCs w:val="24"/>
                <w:lang w:val="en-US"/>
              </w:rPr>
              <w:t xml:space="preserve"> and bigger changes :</w:t>
            </w:r>
          </w:p>
          <w:p w:rsidR="00C24D3A" w:rsidRDefault="005B095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B095C">
              <w:rPr>
                <w:sz w:val="24"/>
                <w:szCs w:val="24"/>
                <w:lang w:val="en-US"/>
              </w:rPr>
              <w:t>A tentative budget (2.8M€) for investment to been included in RDSP-DDP</w:t>
            </w:r>
          </w:p>
          <w:p w:rsidR="005B095C" w:rsidRDefault="005B095C" w:rsidP="00BD64B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Resources for lessons learned have increased</w:t>
            </w:r>
            <w:r w:rsidR="00266C2B" w:rsidRPr="00266C2B">
              <w:rPr>
                <w:lang w:val="en-US"/>
              </w:rPr>
              <w:t xml:space="preserve"> </w:t>
            </w:r>
            <w:r w:rsidR="00266C2B">
              <w:rPr>
                <w:sz w:val="24"/>
                <w:szCs w:val="24"/>
                <w:lang w:val="en-US"/>
              </w:rPr>
              <w:t xml:space="preserve">since </w:t>
            </w:r>
            <w:r w:rsidR="00BD64B4">
              <w:rPr>
                <w:sz w:val="24"/>
                <w:szCs w:val="24"/>
                <w:lang w:val="en-US"/>
              </w:rPr>
              <w:t>they</w:t>
            </w:r>
            <w:r w:rsidR="00266C2B" w:rsidRPr="00266C2B">
              <w:rPr>
                <w:sz w:val="24"/>
                <w:szCs w:val="24"/>
                <w:lang w:val="en-US"/>
              </w:rPr>
              <w:t xml:space="preserve"> includes TA cost</w:t>
            </w:r>
            <w:r w:rsidR="00BD64B4">
              <w:rPr>
                <w:sz w:val="24"/>
                <w:szCs w:val="24"/>
                <w:lang w:val="en-US"/>
              </w:rPr>
              <w:t>,</w:t>
            </w:r>
            <w:r w:rsidR="00266C2B" w:rsidRPr="00266C2B">
              <w:rPr>
                <w:sz w:val="24"/>
                <w:szCs w:val="24"/>
                <w:lang w:val="en-US"/>
              </w:rPr>
              <w:t xml:space="preserve"> reflecting desired workload to be invested in capitalization processes and appropriate documentation of lessons learned in order to contribute effectively to evidence-based policy making at </w:t>
            </w:r>
            <w:proofErr w:type="spellStart"/>
            <w:r w:rsidR="00266C2B" w:rsidRPr="00266C2B">
              <w:rPr>
                <w:sz w:val="24"/>
                <w:szCs w:val="24"/>
                <w:lang w:val="en-US"/>
              </w:rPr>
              <w:t>GoR</w:t>
            </w:r>
            <w:proofErr w:type="spellEnd"/>
            <w:r w:rsidR="00266C2B" w:rsidRPr="00266C2B">
              <w:rPr>
                <w:sz w:val="24"/>
                <w:szCs w:val="24"/>
                <w:lang w:val="en-US"/>
              </w:rPr>
              <w:t xml:space="preserve"> level.</w:t>
            </w:r>
          </w:p>
        </w:tc>
      </w:tr>
      <w:tr w:rsidR="00C24D3A" w:rsidRPr="000A60CA" w:rsidTr="001344E5">
        <w:tc>
          <w:tcPr>
            <w:tcW w:w="1582" w:type="dxa"/>
            <w:shd w:val="clear" w:color="auto" w:fill="auto"/>
          </w:tcPr>
          <w:p w:rsidR="00C24D3A" w:rsidRDefault="00C24D3A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C24D3A" w:rsidRDefault="0094275A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P.92</w:t>
            </w:r>
          </w:p>
        </w:tc>
        <w:tc>
          <w:tcPr>
            <w:tcW w:w="10947" w:type="dxa"/>
          </w:tcPr>
          <w:p w:rsidR="00C24D3A" w:rsidRDefault="003865D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Some </w:t>
            </w:r>
            <w:r w:rsidR="0094275A">
              <w:rPr>
                <w:sz w:val="24"/>
                <w:szCs w:val="24"/>
                <w:lang w:val="en-US"/>
              </w:rPr>
              <w:t>clarifications on budgetary allocations of TA cost</w:t>
            </w:r>
          </w:p>
        </w:tc>
      </w:tr>
      <w:tr w:rsidR="003865DC" w:rsidRPr="00ED31F6" w:rsidTr="00242A22">
        <w:tc>
          <w:tcPr>
            <w:tcW w:w="3227" w:type="dxa"/>
            <w:gridSpan w:val="2"/>
            <w:shd w:val="clear" w:color="auto" w:fill="auto"/>
          </w:tcPr>
          <w:p w:rsidR="003865DC" w:rsidRDefault="003865D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Chap 5</w:t>
            </w:r>
          </w:p>
          <w:p w:rsidR="003865DC" w:rsidRDefault="003865D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Modalities</w:t>
            </w:r>
          </w:p>
        </w:tc>
        <w:tc>
          <w:tcPr>
            <w:tcW w:w="10947" w:type="dxa"/>
          </w:tcPr>
          <w:p w:rsidR="003865DC" w:rsidRDefault="003865D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24D3A" w:rsidRPr="000A60CA" w:rsidTr="001344E5">
        <w:tc>
          <w:tcPr>
            <w:tcW w:w="1582" w:type="dxa"/>
            <w:shd w:val="clear" w:color="auto" w:fill="auto"/>
          </w:tcPr>
          <w:p w:rsidR="00C24D3A" w:rsidRDefault="00C24D3A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C24D3A" w:rsidRDefault="003865D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P.100</w:t>
            </w:r>
            <w:r w:rsidR="007A1048">
              <w:rPr>
                <w:sz w:val="24"/>
                <w:szCs w:val="24"/>
                <w:lang w:val="en-US"/>
              </w:rPr>
              <w:t>-101</w:t>
            </w:r>
          </w:p>
        </w:tc>
        <w:tc>
          <w:tcPr>
            <w:tcW w:w="10947" w:type="dxa"/>
          </w:tcPr>
          <w:p w:rsidR="00C24D3A" w:rsidRDefault="003865D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Possible updates of OA under BTC leadership</w:t>
            </w:r>
            <w:r w:rsidR="007A1048">
              <w:rPr>
                <w:sz w:val="24"/>
                <w:szCs w:val="24"/>
                <w:lang w:val="en-US"/>
              </w:rPr>
              <w:t xml:space="preserve"> during implementation since all OA have been addressed during formulation</w:t>
            </w:r>
          </w:p>
        </w:tc>
      </w:tr>
      <w:tr w:rsidR="003865DC" w:rsidRPr="000A60CA" w:rsidTr="001344E5">
        <w:tc>
          <w:tcPr>
            <w:tcW w:w="1582" w:type="dxa"/>
            <w:shd w:val="clear" w:color="auto" w:fill="auto"/>
          </w:tcPr>
          <w:p w:rsidR="003865DC" w:rsidRDefault="003865D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3865DC" w:rsidRDefault="007A1048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P.104</w:t>
            </w:r>
          </w:p>
        </w:tc>
        <w:tc>
          <w:tcPr>
            <w:tcW w:w="10947" w:type="dxa"/>
          </w:tcPr>
          <w:p w:rsidR="003865DC" w:rsidRDefault="007A1048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Chronogram of 1 year activities has been amended according to changes in results and activities</w:t>
            </w:r>
          </w:p>
        </w:tc>
      </w:tr>
      <w:tr w:rsidR="007A1048" w:rsidRPr="00ED31F6" w:rsidTr="00242A22">
        <w:tc>
          <w:tcPr>
            <w:tcW w:w="3227" w:type="dxa"/>
            <w:gridSpan w:val="2"/>
            <w:shd w:val="clear" w:color="auto" w:fill="auto"/>
          </w:tcPr>
          <w:p w:rsidR="000E5693" w:rsidRDefault="000E5693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Chap 7</w:t>
            </w:r>
          </w:p>
          <w:p w:rsidR="007A1048" w:rsidRDefault="007A1048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Annexes </w:t>
            </w:r>
          </w:p>
        </w:tc>
        <w:tc>
          <w:tcPr>
            <w:tcW w:w="10947" w:type="dxa"/>
          </w:tcPr>
          <w:p w:rsidR="007A1048" w:rsidRDefault="007A1048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865DC" w:rsidRPr="000A60CA" w:rsidTr="001344E5">
        <w:tc>
          <w:tcPr>
            <w:tcW w:w="1582" w:type="dxa"/>
            <w:shd w:val="clear" w:color="auto" w:fill="auto"/>
          </w:tcPr>
          <w:p w:rsidR="003865DC" w:rsidRDefault="003865D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3865DC" w:rsidRDefault="00205801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P.129-145</w:t>
            </w:r>
          </w:p>
        </w:tc>
        <w:tc>
          <w:tcPr>
            <w:tcW w:w="10947" w:type="dxa"/>
          </w:tcPr>
          <w:p w:rsidR="003865DC" w:rsidRDefault="007A1048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Logframe</w:t>
            </w:r>
            <w:proofErr w:type="spellEnd"/>
            <w:r w:rsidR="00205801">
              <w:rPr>
                <w:sz w:val="24"/>
                <w:szCs w:val="24"/>
                <w:lang w:val="en-US"/>
              </w:rPr>
              <w:t xml:space="preserve"> has been adapted.</w:t>
            </w:r>
          </w:p>
          <w:p w:rsidR="00205801" w:rsidRDefault="00205801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For </w:t>
            </w:r>
            <w:proofErr w:type="spellStart"/>
            <w:r>
              <w:rPr>
                <w:sz w:val="24"/>
                <w:szCs w:val="24"/>
                <w:lang w:val="en-US"/>
              </w:rPr>
              <w:t>Ralga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:  explicit indicator on </w:t>
            </w:r>
            <w:proofErr w:type="spellStart"/>
            <w:r>
              <w:rPr>
                <w:sz w:val="24"/>
                <w:szCs w:val="24"/>
                <w:lang w:val="en-US"/>
              </w:rPr>
              <w:t>Ralga’s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role</w:t>
            </w:r>
          </w:p>
        </w:tc>
      </w:tr>
      <w:tr w:rsidR="003865DC" w:rsidRPr="000A60CA" w:rsidTr="001344E5">
        <w:tc>
          <w:tcPr>
            <w:tcW w:w="1582" w:type="dxa"/>
            <w:shd w:val="clear" w:color="auto" w:fill="auto"/>
          </w:tcPr>
          <w:p w:rsidR="003865DC" w:rsidRDefault="003865DC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3865DC" w:rsidRDefault="003C6D3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P.146</w:t>
            </w:r>
          </w:p>
        </w:tc>
        <w:tc>
          <w:tcPr>
            <w:tcW w:w="10947" w:type="dxa"/>
          </w:tcPr>
          <w:p w:rsidR="003C6D35" w:rsidRDefault="00AE5EFB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Profile and tasks :</w:t>
            </w:r>
            <w:r w:rsidR="003C6D3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Slight changes in</w:t>
            </w:r>
            <w:r w:rsidR="00BD64B4">
              <w:rPr>
                <w:sz w:val="24"/>
                <w:szCs w:val="24"/>
                <w:lang w:val="en-US"/>
              </w:rPr>
              <w:t xml:space="preserve"> their role in capitalization process :</w:t>
            </w:r>
          </w:p>
          <w:p w:rsidR="003865DC" w:rsidRDefault="003C6D35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TA will c</w:t>
            </w:r>
            <w:r w:rsidRPr="003C6D35">
              <w:rPr>
                <w:sz w:val="24"/>
                <w:szCs w:val="24"/>
                <w:lang w:val="en-US"/>
              </w:rPr>
              <w:t>ontribute to the capitalization and dissemination of the lessons learned of the projects</w:t>
            </w:r>
          </w:p>
        </w:tc>
      </w:tr>
      <w:tr w:rsidR="006E461D" w:rsidRPr="000A60CA" w:rsidTr="001344E5">
        <w:tc>
          <w:tcPr>
            <w:tcW w:w="1582" w:type="dxa"/>
            <w:shd w:val="clear" w:color="auto" w:fill="auto"/>
          </w:tcPr>
          <w:p w:rsidR="006E461D" w:rsidRDefault="006E461D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6E461D" w:rsidRDefault="006E461D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P.163</w:t>
            </w:r>
            <w:r w:rsidR="00F34A81">
              <w:rPr>
                <w:sz w:val="24"/>
                <w:szCs w:val="24"/>
                <w:lang w:val="en-US"/>
              </w:rPr>
              <w:t>-174</w:t>
            </w:r>
          </w:p>
        </w:tc>
        <w:tc>
          <w:tcPr>
            <w:tcW w:w="10947" w:type="dxa"/>
          </w:tcPr>
          <w:p w:rsidR="006E461D" w:rsidRDefault="006E461D" w:rsidP="008B359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background for LCF</w:t>
            </w:r>
            <w:r w:rsidR="00AE5EFB">
              <w:rPr>
                <w:sz w:val="24"/>
                <w:szCs w:val="24"/>
                <w:lang w:val="en-US"/>
              </w:rPr>
              <w:t xml:space="preserve"> framework</w:t>
            </w:r>
            <w:r>
              <w:rPr>
                <w:sz w:val="24"/>
                <w:szCs w:val="24"/>
                <w:lang w:val="en-US"/>
              </w:rPr>
              <w:t xml:space="preserve"> :  slight changes</w:t>
            </w:r>
            <w:r w:rsidR="00F34A81">
              <w:rPr>
                <w:sz w:val="24"/>
                <w:szCs w:val="24"/>
                <w:lang w:val="en-US"/>
              </w:rPr>
              <w:t>; to be set up under RDSP-DDP</w:t>
            </w:r>
          </w:p>
        </w:tc>
      </w:tr>
    </w:tbl>
    <w:p w:rsidR="001C0C5F" w:rsidRDefault="001C0C5F" w:rsidP="001C0C5F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Adaptation to the S</w:t>
      </w:r>
      <w:r w:rsidR="00BD64B4">
        <w:rPr>
          <w:b/>
          <w:sz w:val="24"/>
          <w:szCs w:val="24"/>
          <w:u w:val="single"/>
          <w:lang w:val="en-US"/>
        </w:rPr>
        <w:t xml:space="preserve">pecific </w:t>
      </w:r>
      <w:r>
        <w:rPr>
          <w:b/>
          <w:sz w:val="24"/>
          <w:szCs w:val="24"/>
          <w:u w:val="single"/>
          <w:lang w:val="en-US"/>
        </w:rPr>
        <w:t>A</w:t>
      </w:r>
      <w:r w:rsidR="00BD64B4">
        <w:rPr>
          <w:b/>
          <w:sz w:val="24"/>
          <w:szCs w:val="24"/>
          <w:u w:val="single"/>
          <w:lang w:val="en-US"/>
        </w:rPr>
        <w:t>greement</w:t>
      </w:r>
    </w:p>
    <w:p w:rsidR="009B5545" w:rsidRDefault="009B5545" w:rsidP="009B5545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9B5545" w:rsidRPr="009B5545" w:rsidRDefault="009B5545" w:rsidP="009B5545">
      <w:pPr>
        <w:pStyle w:val="ListParagraph"/>
        <w:rPr>
          <w:b/>
          <w:sz w:val="24"/>
          <w:szCs w:val="24"/>
          <w:lang w:val="en-US"/>
        </w:rPr>
      </w:pPr>
      <w:r w:rsidRPr="009B5545">
        <w:rPr>
          <w:b/>
          <w:sz w:val="24"/>
          <w:szCs w:val="24"/>
          <w:lang w:val="en-US"/>
        </w:rPr>
        <w:t xml:space="preserve">Changes have occurred on articles as follows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0871"/>
      </w:tblGrid>
      <w:tr w:rsidR="00B253D4" w:rsidRPr="00ED31F6" w:rsidTr="00B253D4">
        <w:tc>
          <w:tcPr>
            <w:tcW w:w="2709" w:type="dxa"/>
            <w:shd w:val="clear" w:color="auto" w:fill="auto"/>
          </w:tcPr>
          <w:p w:rsidR="00B253D4" w:rsidRPr="00735EAA" w:rsidRDefault="00B253D4" w:rsidP="00B253D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Articles </w:t>
            </w:r>
          </w:p>
        </w:tc>
        <w:tc>
          <w:tcPr>
            <w:tcW w:w="10871" w:type="dxa"/>
            <w:shd w:val="clear" w:color="auto" w:fill="auto"/>
          </w:tcPr>
          <w:p w:rsidR="00B253D4" w:rsidRPr="00735EAA" w:rsidRDefault="00B253D4" w:rsidP="00242A2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Final content</w:t>
            </w:r>
          </w:p>
        </w:tc>
      </w:tr>
      <w:tr w:rsidR="00B253D4" w:rsidRPr="000A60CA" w:rsidTr="00B253D4">
        <w:tc>
          <w:tcPr>
            <w:tcW w:w="2709" w:type="dxa"/>
            <w:shd w:val="clear" w:color="auto" w:fill="auto"/>
          </w:tcPr>
          <w:p w:rsidR="00B253D4" w:rsidRPr="00B253D4" w:rsidRDefault="00B253D4" w:rsidP="00B253D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1.1</w:t>
            </w:r>
            <w:r w:rsidRPr="00B253D4"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0871" w:type="dxa"/>
            <w:shd w:val="clear" w:color="auto" w:fill="auto"/>
          </w:tcPr>
          <w:p w:rsidR="00B253D4" w:rsidRPr="00735EAA" w:rsidRDefault="00B253D4" w:rsidP="00B253D4">
            <w:pPr>
              <w:spacing w:after="0" w:line="240" w:lineRule="auto"/>
              <w:jc w:val="both"/>
              <w:rPr>
                <w:lang w:val="en-US"/>
              </w:rPr>
            </w:pPr>
            <w:r w:rsidRPr="00832B76">
              <w:rPr>
                <w:i/>
                <w:sz w:val="24"/>
                <w:szCs w:val="24"/>
                <w:lang w:val="en-US"/>
              </w:rPr>
              <w:t xml:space="preserve">Title of intervention </w:t>
            </w:r>
            <w:r w:rsidR="00DA2749">
              <w:rPr>
                <w:i/>
                <w:sz w:val="24"/>
                <w:szCs w:val="24"/>
                <w:lang w:val="en-US"/>
              </w:rPr>
              <w:t xml:space="preserve">had to be harmonized in the whole document. Valid one is </w:t>
            </w:r>
            <w:r w:rsidRPr="00832B76">
              <w:rPr>
                <w:i/>
                <w:sz w:val="24"/>
                <w:szCs w:val="24"/>
                <w:lang w:val="en-US"/>
              </w:rPr>
              <w:t>“Rwanda De</w:t>
            </w:r>
            <w:r w:rsidR="004926CF">
              <w:rPr>
                <w:i/>
                <w:sz w:val="24"/>
                <w:szCs w:val="24"/>
                <w:lang w:val="en-US"/>
              </w:rPr>
              <w:t>centralization Support Program</w:t>
            </w:r>
            <w:r w:rsidRPr="00832B76">
              <w:rPr>
                <w:i/>
                <w:sz w:val="24"/>
                <w:szCs w:val="24"/>
                <w:lang w:val="en-US"/>
              </w:rPr>
              <w:t xml:space="preserve"> (RDSP): Enhancing the capacities of districts (ECD)”</w:t>
            </w:r>
          </w:p>
        </w:tc>
      </w:tr>
      <w:tr w:rsidR="00B253D4" w:rsidRPr="000A60CA" w:rsidTr="00B253D4">
        <w:tc>
          <w:tcPr>
            <w:tcW w:w="2709" w:type="dxa"/>
            <w:shd w:val="clear" w:color="auto" w:fill="auto"/>
          </w:tcPr>
          <w:p w:rsidR="00B253D4" w:rsidRPr="00735EAA" w:rsidRDefault="00B253D4" w:rsidP="00B253D4">
            <w:pPr>
              <w:rPr>
                <w:sz w:val="24"/>
                <w:szCs w:val="24"/>
                <w:lang w:val="en-US"/>
              </w:rPr>
            </w:pPr>
            <w:r w:rsidRPr="00832B76">
              <w:rPr>
                <w:b/>
                <w:i/>
                <w:sz w:val="24"/>
                <w:szCs w:val="24"/>
                <w:lang w:val="en-US"/>
              </w:rPr>
              <w:t>3.1.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71" w:type="dxa"/>
            <w:shd w:val="clear" w:color="auto" w:fill="auto"/>
          </w:tcPr>
          <w:p w:rsidR="00B253D4" w:rsidRPr="00B253D4" w:rsidRDefault="00B253D4" w:rsidP="004926CF">
            <w:pPr>
              <w:spacing w:after="0"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32B76">
              <w:rPr>
                <w:i/>
                <w:sz w:val="24"/>
                <w:szCs w:val="24"/>
                <w:lang w:val="en-US"/>
              </w:rPr>
              <w:t>The total budget of the Project is of a maximum amount of 14,927,473 EUR on the date of sig</w:t>
            </w:r>
            <w:r w:rsidR="004926CF">
              <w:rPr>
                <w:i/>
                <w:sz w:val="24"/>
                <w:szCs w:val="24"/>
                <w:lang w:val="en-US"/>
              </w:rPr>
              <w:t>ning of this Specific Agreement</w:t>
            </w:r>
          </w:p>
        </w:tc>
      </w:tr>
      <w:tr w:rsidR="00B253D4" w:rsidRPr="000A60CA" w:rsidTr="00B253D4">
        <w:tc>
          <w:tcPr>
            <w:tcW w:w="2709" w:type="dxa"/>
            <w:shd w:val="clear" w:color="auto" w:fill="auto"/>
          </w:tcPr>
          <w:p w:rsidR="00B253D4" w:rsidRPr="00B253D4" w:rsidRDefault="00B253D4" w:rsidP="00B253D4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3.2</w:t>
            </w:r>
          </w:p>
        </w:tc>
        <w:tc>
          <w:tcPr>
            <w:tcW w:w="10871" w:type="dxa"/>
            <w:shd w:val="clear" w:color="auto" w:fill="auto"/>
          </w:tcPr>
          <w:p w:rsidR="00B253D4" w:rsidRPr="00735EAA" w:rsidRDefault="00B253D4" w:rsidP="004926CF">
            <w:pPr>
              <w:spacing w:after="0" w:line="240" w:lineRule="auto"/>
              <w:jc w:val="both"/>
              <w:rPr>
                <w:lang w:val="en-US"/>
              </w:rPr>
            </w:pPr>
            <w:r w:rsidRPr="00832B76">
              <w:rPr>
                <w:i/>
                <w:sz w:val="24"/>
                <w:szCs w:val="24"/>
                <w:lang w:val="en-US"/>
              </w:rPr>
              <w:t>The Kingdom of Belgium undertakes to contribute a maximum amount of 13,500,000 EUR on the date of signing of the Specific Agreement</w:t>
            </w:r>
          </w:p>
        </w:tc>
      </w:tr>
      <w:tr w:rsidR="00B253D4" w:rsidRPr="000A60CA" w:rsidTr="00B253D4">
        <w:tc>
          <w:tcPr>
            <w:tcW w:w="2709" w:type="dxa"/>
            <w:shd w:val="clear" w:color="auto" w:fill="auto"/>
          </w:tcPr>
          <w:p w:rsidR="00B253D4" w:rsidRPr="00242A22" w:rsidRDefault="00B253D4" w:rsidP="00B253D4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9B5545">
              <w:rPr>
                <w:b/>
                <w:i/>
                <w:sz w:val="24"/>
                <w:szCs w:val="24"/>
                <w:lang w:val="en-US"/>
              </w:rPr>
              <w:t>4.2</w:t>
            </w:r>
            <w:r>
              <w:rPr>
                <w:i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0871" w:type="dxa"/>
            <w:shd w:val="clear" w:color="auto" w:fill="auto"/>
          </w:tcPr>
          <w:p w:rsidR="007F352A" w:rsidRDefault="00242A22" w:rsidP="00242A22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The text has been adapted to stick to the management contract between DGD and BTC.</w:t>
            </w:r>
            <w:r w:rsidR="007F352A">
              <w:rPr>
                <w:i/>
                <w:sz w:val="24"/>
                <w:szCs w:val="24"/>
                <w:lang w:val="en-US"/>
              </w:rPr>
              <w:t xml:space="preserve"> It says that t</w:t>
            </w:r>
            <w:r w:rsidR="007F352A" w:rsidRPr="00242A22">
              <w:rPr>
                <w:i/>
                <w:sz w:val="24"/>
                <w:szCs w:val="24"/>
                <w:lang w:val="en-US"/>
              </w:rPr>
              <w:t>he Steer</w:t>
            </w:r>
            <w:r w:rsidR="007F352A">
              <w:rPr>
                <w:i/>
                <w:sz w:val="24"/>
                <w:szCs w:val="24"/>
                <w:lang w:val="en-US"/>
              </w:rPr>
              <w:t>ing Committee may adapt the TFF</w:t>
            </w:r>
            <w:r w:rsidR="007F352A" w:rsidRPr="00242A22">
              <w:rPr>
                <w:i/>
                <w:sz w:val="24"/>
                <w:szCs w:val="24"/>
                <w:lang w:val="en-US"/>
              </w:rPr>
              <w:t xml:space="preserve"> according to the evolution of the ge</w:t>
            </w:r>
            <w:r w:rsidR="007F352A">
              <w:rPr>
                <w:i/>
                <w:sz w:val="24"/>
                <w:szCs w:val="24"/>
                <w:lang w:val="en-US"/>
              </w:rPr>
              <w:t>neral context and/or the course of the Intervention, w</w:t>
            </w:r>
            <w:r w:rsidRPr="00242A22">
              <w:rPr>
                <w:i/>
                <w:sz w:val="24"/>
                <w:szCs w:val="24"/>
                <w:lang w:val="en-US"/>
              </w:rPr>
              <w:t xml:space="preserve">ith the exception of </w:t>
            </w:r>
            <w:r w:rsidR="007F352A">
              <w:rPr>
                <w:i/>
                <w:sz w:val="24"/>
                <w:szCs w:val="24"/>
                <w:lang w:val="en-US"/>
              </w:rPr>
              <w:t>:</w:t>
            </w:r>
          </w:p>
          <w:p w:rsidR="007F352A" w:rsidRDefault="00242A22" w:rsidP="00242A22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  <w:lang w:val="en-US"/>
              </w:rPr>
            </w:pPr>
            <w:r w:rsidRPr="007F352A">
              <w:rPr>
                <w:i/>
                <w:sz w:val="24"/>
                <w:szCs w:val="24"/>
                <w:lang w:val="en-US"/>
              </w:rPr>
              <w:t>the Specific Objective of the Project</w:t>
            </w:r>
            <w:r w:rsidR="007F352A">
              <w:rPr>
                <w:i/>
                <w:sz w:val="24"/>
                <w:szCs w:val="24"/>
                <w:lang w:val="en-US"/>
              </w:rPr>
              <w:t>(art.1.3)</w:t>
            </w:r>
          </w:p>
          <w:p w:rsidR="007F352A" w:rsidRDefault="00242A22" w:rsidP="00242A22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  <w:lang w:val="en-US"/>
              </w:rPr>
            </w:pPr>
            <w:r w:rsidRPr="007F352A">
              <w:rPr>
                <w:i/>
                <w:sz w:val="24"/>
                <w:szCs w:val="24"/>
                <w:lang w:val="en-US"/>
              </w:rPr>
              <w:t xml:space="preserve">the duration of the Specific Agreement (art. 12.1) and of </w:t>
            </w:r>
          </w:p>
          <w:p w:rsidR="00242A22" w:rsidRPr="007F352A" w:rsidRDefault="00242A22" w:rsidP="00B253D4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  <w:lang w:val="en-US"/>
              </w:rPr>
            </w:pPr>
            <w:r w:rsidRPr="007F352A">
              <w:rPr>
                <w:i/>
                <w:sz w:val="24"/>
                <w:szCs w:val="24"/>
                <w:lang w:val="en-US"/>
              </w:rPr>
              <w:t>the total budgets (art. 3), for which a modification needs an</w:t>
            </w:r>
            <w:r w:rsidR="007F352A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F352A">
              <w:rPr>
                <w:i/>
                <w:sz w:val="24"/>
                <w:szCs w:val="24"/>
                <w:lang w:val="en-US"/>
              </w:rPr>
              <w:t>exchange of letters between the Parties according to article 12.4 of</w:t>
            </w:r>
            <w:r w:rsidR="007F352A">
              <w:rPr>
                <w:i/>
                <w:sz w:val="24"/>
                <w:szCs w:val="24"/>
                <w:lang w:val="en-US"/>
              </w:rPr>
              <w:t xml:space="preserve"> this Specific Agreement</w:t>
            </w:r>
          </w:p>
        </w:tc>
      </w:tr>
    </w:tbl>
    <w:p w:rsidR="00832B76" w:rsidRDefault="00832B76" w:rsidP="00832B76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B253D4" w:rsidRPr="001C0C5F" w:rsidRDefault="00B253D4" w:rsidP="00832B76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832B76" w:rsidRPr="00832B76" w:rsidRDefault="00832B76" w:rsidP="00B253D4">
      <w:pPr>
        <w:pStyle w:val="ListParagraph"/>
        <w:ind w:left="420"/>
        <w:jc w:val="both"/>
        <w:rPr>
          <w:i/>
          <w:sz w:val="24"/>
          <w:szCs w:val="24"/>
          <w:lang w:val="en-US"/>
        </w:rPr>
      </w:pPr>
    </w:p>
    <w:p w:rsidR="00832B76" w:rsidRPr="00A53D43" w:rsidRDefault="00832B76">
      <w:pPr>
        <w:rPr>
          <w:lang w:val="en-US"/>
        </w:rPr>
      </w:pPr>
    </w:p>
    <w:sectPr w:rsidR="00832B76" w:rsidRPr="00A53D43" w:rsidSect="00BD64B4">
      <w:footerReference w:type="default" r:id="rId9"/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B5" w:rsidRDefault="00E73AB5" w:rsidP="00BD64B4">
      <w:pPr>
        <w:spacing w:after="0" w:line="240" w:lineRule="auto"/>
      </w:pPr>
      <w:r>
        <w:separator/>
      </w:r>
    </w:p>
  </w:endnote>
  <w:endnote w:type="continuationSeparator" w:id="0">
    <w:p w:rsidR="00E73AB5" w:rsidRDefault="00E73AB5" w:rsidP="00BD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894156"/>
      <w:docPartObj>
        <w:docPartGallery w:val="Page Numbers (Bottom of Page)"/>
        <w:docPartUnique/>
      </w:docPartObj>
    </w:sdtPr>
    <w:sdtEndPr/>
    <w:sdtContent>
      <w:p w:rsidR="00BD64B4" w:rsidRDefault="00BD64B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CA" w:rsidRPr="000A60CA">
          <w:rPr>
            <w:noProof/>
            <w:lang w:val="fr-FR"/>
          </w:rPr>
          <w:t>1</w:t>
        </w:r>
        <w:r>
          <w:fldChar w:fldCharType="end"/>
        </w:r>
      </w:p>
    </w:sdtContent>
  </w:sdt>
  <w:p w:rsidR="00BD64B4" w:rsidRDefault="00BD6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B5" w:rsidRDefault="00E73AB5" w:rsidP="00BD64B4">
      <w:pPr>
        <w:spacing w:after="0" w:line="240" w:lineRule="auto"/>
      </w:pPr>
      <w:r>
        <w:separator/>
      </w:r>
    </w:p>
  </w:footnote>
  <w:footnote w:type="continuationSeparator" w:id="0">
    <w:p w:rsidR="00E73AB5" w:rsidRDefault="00E73AB5" w:rsidP="00BD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987"/>
    <w:multiLevelType w:val="hybridMultilevel"/>
    <w:tmpl w:val="30626756"/>
    <w:lvl w:ilvl="0" w:tplc="77D460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B523E"/>
    <w:multiLevelType w:val="hybridMultilevel"/>
    <w:tmpl w:val="A0C665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34ED0"/>
    <w:multiLevelType w:val="hybridMultilevel"/>
    <w:tmpl w:val="8F52AAA0"/>
    <w:lvl w:ilvl="0" w:tplc="383CC8F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C1368"/>
    <w:multiLevelType w:val="hybridMultilevel"/>
    <w:tmpl w:val="A0C665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B0274"/>
    <w:multiLevelType w:val="hybridMultilevel"/>
    <w:tmpl w:val="509E219A"/>
    <w:lvl w:ilvl="0" w:tplc="7D50E93C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7BF6"/>
    <w:multiLevelType w:val="multilevel"/>
    <w:tmpl w:val="AD5C35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6524DA1"/>
    <w:multiLevelType w:val="hybridMultilevel"/>
    <w:tmpl w:val="3118CE6C"/>
    <w:lvl w:ilvl="0" w:tplc="5E1E0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F0CC9"/>
    <w:multiLevelType w:val="hybridMultilevel"/>
    <w:tmpl w:val="522A6A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43"/>
    <w:rsid w:val="00033796"/>
    <w:rsid w:val="0006227D"/>
    <w:rsid w:val="00071C61"/>
    <w:rsid w:val="000A60CA"/>
    <w:rsid w:val="000E5693"/>
    <w:rsid w:val="000F3D13"/>
    <w:rsid w:val="001344E5"/>
    <w:rsid w:val="00145CAA"/>
    <w:rsid w:val="001539D2"/>
    <w:rsid w:val="001C0C5F"/>
    <w:rsid w:val="001D2B93"/>
    <w:rsid w:val="00205801"/>
    <w:rsid w:val="00242A22"/>
    <w:rsid w:val="00252B67"/>
    <w:rsid w:val="00255B2D"/>
    <w:rsid w:val="00266B35"/>
    <w:rsid w:val="00266C2B"/>
    <w:rsid w:val="002713CF"/>
    <w:rsid w:val="002C31A0"/>
    <w:rsid w:val="002E6744"/>
    <w:rsid w:val="0037246A"/>
    <w:rsid w:val="00376C1E"/>
    <w:rsid w:val="003865DC"/>
    <w:rsid w:val="003B586E"/>
    <w:rsid w:val="003C26C7"/>
    <w:rsid w:val="003C6D35"/>
    <w:rsid w:val="003E3099"/>
    <w:rsid w:val="003E68BC"/>
    <w:rsid w:val="0047604B"/>
    <w:rsid w:val="004926CF"/>
    <w:rsid w:val="004B7E9E"/>
    <w:rsid w:val="004D08FA"/>
    <w:rsid w:val="005118FE"/>
    <w:rsid w:val="00583753"/>
    <w:rsid w:val="005B095C"/>
    <w:rsid w:val="005E792D"/>
    <w:rsid w:val="005F3C56"/>
    <w:rsid w:val="00624C10"/>
    <w:rsid w:val="00651F0C"/>
    <w:rsid w:val="006E461D"/>
    <w:rsid w:val="00735EAA"/>
    <w:rsid w:val="007825F5"/>
    <w:rsid w:val="007905B7"/>
    <w:rsid w:val="007A1048"/>
    <w:rsid w:val="007A4B57"/>
    <w:rsid w:val="007C18BE"/>
    <w:rsid w:val="007D1343"/>
    <w:rsid w:val="007F146A"/>
    <w:rsid w:val="007F352A"/>
    <w:rsid w:val="00806D83"/>
    <w:rsid w:val="00820A83"/>
    <w:rsid w:val="00832B76"/>
    <w:rsid w:val="00836A90"/>
    <w:rsid w:val="0086255E"/>
    <w:rsid w:val="008A1D07"/>
    <w:rsid w:val="008A1DA4"/>
    <w:rsid w:val="008B3592"/>
    <w:rsid w:val="008E22FB"/>
    <w:rsid w:val="008E3C8E"/>
    <w:rsid w:val="00933843"/>
    <w:rsid w:val="0094275A"/>
    <w:rsid w:val="009B5545"/>
    <w:rsid w:val="009C1A94"/>
    <w:rsid w:val="009E12FD"/>
    <w:rsid w:val="00A04FB2"/>
    <w:rsid w:val="00A53D43"/>
    <w:rsid w:val="00AE3775"/>
    <w:rsid w:val="00AE5EFB"/>
    <w:rsid w:val="00B253D4"/>
    <w:rsid w:val="00B55219"/>
    <w:rsid w:val="00B94210"/>
    <w:rsid w:val="00BD64B4"/>
    <w:rsid w:val="00C24D3A"/>
    <w:rsid w:val="00C71023"/>
    <w:rsid w:val="00CA4BA9"/>
    <w:rsid w:val="00CB11D9"/>
    <w:rsid w:val="00CD0093"/>
    <w:rsid w:val="00D379CB"/>
    <w:rsid w:val="00DA2749"/>
    <w:rsid w:val="00E228C2"/>
    <w:rsid w:val="00E73AB5"/>
    <w:rsid w:val="00E82264"/>
    <w:rsid w:val="00E91615"/>
    <w:rsid w:val="00EB29C7"/>
    <w:rsid w:val="00ED31F6"/>
    <w:rsid w:val="00EE1979"/>
    <w:rsid w:val="00EE2C54"/>
    <w:rsid w:val="00F1074C"/>
    <w:rsid w:val="00F34A81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CBodyText">
    <w:name w:val="BTC Body Text"/>
    <w:basedOn w:val="Normal"/>
    <w:qFormat/>
    <w:rsid w:val="00CD0093"/>
    <w:pPr>
      <w:widowControl w:val="0"/>
      <w:suppressAutoHyphens/>
      <w:spacing w:before="120" w:after="120" w:line="288" w:lineRule="auto"/>
      <w:jc w:val="both"/>
    </w:pPr>
    <w:rPr>
      <w:rFonts w:ascii="Arial" w:eastAsia="Times New Roman" w:hAnsi="Arial"/>
      <w:kern w:val="18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8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4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CBodyText">
    <w:name w:val="BTC Body Text"/>
    <w:basedOn w:val="Normal"/>
    <w:qFormat/>
    <w:rsid w:val="00CD0093"/>
    <w:pPr>
      <w:widowControl w:val="0"/>
      <w:suppressAutoHyphens/>
      <w:spacing w:before="120" w:after="120" w:line="288" w:lineRule="auto"/>
      <w:jc w:val="both"/>
    </w:pPr>
    <w:rPr>
      <w:rFonts w:ascii="Arial" w:eastAsia="Times New Roman" w:hAnsi="Arial"/>
      <w:kern w:val="18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8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4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4ADF-2415-4068-90E4-35BC5F22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BTCCTB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ELEGEERT</dc:creator>
  <cp:lastModifiedBy>Colman Bart - D1.3</cp:lastModifiedBy>
  <cp:revision>3</cp:revision>
  <cp:lastPrinted>2014-06-26T13:59:00Z</cp:lastPrinted>
  <dcterms:created xsi:type="dcterms:W3CDTF">2014-06-26T12:06:00Z</dcterms:created>
  <dcterms:modified xsi:type="dcterms:W3CDTF">2014-06-26T14:09:00Z</dcterms:modified>
</cp:coreProperties>
</file>