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F12CD" w14:textId="6685B491" w:rsidR="008C0E85" w:rsidRPr="009E1963" w:rsidRDefault="000A4737" w:rsidP="000A4737">
      <w:pPr>
        <w:pStyle w:val="BodyText"/>
        <w:spacing w:before="42"/>
        <w:jc w:val="center"/>
        <w:rPr>
          <w:b/>
        </w:rPr>
      </w:pPr>
      <w:r>
        <w:rPr>
          <w:b/>
        </w:rPr>
        <w:t xml:space="preserve">Final </w:t>
      </w:r>
      <w:r w:rsidR="002357B9">
        <w:rPr>
          <w:b/>
        </w:rPr>
        <w:t xml:space="preserve">harmonized SEAH </w:t>
      </w:r>
      <w:r w:rsidR="00585C49">
        <w:rPr>
          <w:b/>
        </w:rPr>
        <w:t xml:space="preserve">language </w:t>
      </w:r>
      <w:bookmarkStart w:id="0" w:name="_GoBack"/>
      <w:bookmarkEnd w:id="0"/>
      <w:r w:rsidR="009A2F46">
        <w:rPr>
          <w:b/>
        </w:rPr>
        <w:t>July</w:t>
      </w:r>
      <w:r w:rsidR="00585C49">
        <w:rPr>
          <w:b/>
        </w:rPr>
        <w:t xml:space="preserve"> 2021</w:t>
      </w:r>
    </w:p>
    <w:p w14:paraId="71BA22B1" w14:textId="2E87ABF4" w:rsidR="00A93187" w:rsidRPr="009E1963" w:rsidRDefault="00A93187" w:rsidP="000A4737">
      <w:pPr>
        <w:pStyle w:val="BodyText"/>
        <w:spacing w:before="42"/>
        <w:rPr>
          <w:b/>
        </w:rPr>
      </w:pPr>
    </w:p>
    <w:p w14:paraId="0DD8AE49" w14:textId="77777777" w:rsidR="00996FF8" w:rsidRPr="00996FF8" w:rsidRDefault="00130B34" w:rsidP="00130B34">
      <w:pPr>
        <w:pStyle w:val="BodyText"/>
        <w:spacing w:before="42"/>
        <w:ind w:left="231"/>
      </w:pPr>
      <w:r w:rsidRPr="00996FF8">
        <w:t>1.</w:t>
      </w:r>
    </w:p>
    <w:p w14:paraId="222B414C" w14:textId="4CA2EBC1" w:rsidR="00130B34" w:rsidRPr="00996FF8" w:rsidRDefault="00130B34" w:rsidP="00130B34">
      <w:pPr>
        <w:pStyle w:val="BodyText"/>
        <w:spacing w:before="42"/>
        <w:ind w:left="231"/>
        <w:rPr>
          <w:bCs/>
        </w:rPr>
      </w:pPr>
      <w:r w:rsidRPr="00996FF8">
        <w:rPr>
          <w:bCs/>
        </w:rPr>
        <w:t>a. Sexual exploitation and abuse</w:t>
      </w:r>
    </w:p>
    <w:p w14:paraId="7074B55B" w14:textId="2C6E2E60" w:rsidR="00130B34" w:rsidRDefault="00130B34" w:rsidP="00130B34">
      <w:pPr>
        <w:pStyle w:val="BodyText"/>
        <w:spacing w:before="33" w:line="278" w:lineRule="auto"/>
        <w:ind w:left="231" w:right="291"/>
      </w:pPr>
      <w:r w:rsidRPr="000A7912">
        <w:t>The Donor and the Recipient have a zero tolerance for inaction approach to tackling sexual exploitation and abuse (“SEA”)</w:t>
      </w:r>
      <w:r w:rsidR="004C30D4">
        <w:t>.</w:t>
      </w:r>
      <w:r w:rsidR="00585C49">
        <w:rPr>
          <w:rStyle w:val="FootnoteReference"/>
        </w:rPr>
        <w:footnoteReference w:id="1"/>
      </w:r>
      <w:r w:rsidRPr="002E26E3">
        <w:t xml:space="preserve"> </w:t>
      </w:r>
      <w:r w:rsidRPr="000A7912">
        <w:t>This means the Recipient</w:t>
      </w:r>
      <w:r w:rsidR="00124916">
        <w:t xml:space="preserve"> and its implementing partners</w:t>
      </w:r>
      <w:r w:rsidR="00D94527">
        <w:t xml:space="preserve"> </w:t>
      </w:r>
      <w:r w:rsidRPr="000A7912">
        <w:t xml:space="preserve">will take all reasonable steps to prevent SEA by both its employees and </w:t>
      </w:r>
      <w:r w:rsidRPr="0032237E">
        <w:t xml:space="preserve">any implementing partner and respond appropriately when reports of SEA arise, in accordance with </w:t>
      </w:r>
      <w:r w:rsidR="009750EA" w:rsidRPr="003A2960">
        <w:t>their</w:t>
      </w:r>
      <w:r w:rsidR="009750EA" w:rsidRPr="0032237E">
        <w:t xml:space="preserve"> </w:t>
      </w:r>
      <w:r w:rsidRPr="0032237E">
        <w:t>regulations, rules</w:t>
      </w:r>
      <w:r w:rsidR="00BE069B">
        <w:t xml:space="preserve">, </w:t>
      </w:r>
      <w:r w:rsidRPr="0032237E">
        <w:t>policies</w:t>
      </w:r>
      <w:r w:rsidR="00BE069B">
        <w:t xml:space="preserve"> and procedures</w:t>
      </w:r>
      <w:r w:rsidRPr="0032237E">
        <w:t>.</w:t>
      </w:r>
    </w:p>
    <w:p w14:paraId="485E5F77" w14:textId="52F1BBFB" w:rsidR="00130B34" w:rsidRDefault="00130B34" w:rsidP="002E26E3">
      <w:pPr>
        <w:pStyle w:val="BodyText"/>
        <w:spacing w:before="33" w:line="278" w:lineRule="auto"/>
        <w:ind w:left="231" w:right="291"/>
      </w:pPr>
      <w:r w:rsidRPr="0032237E">
        <w:t xml:space="preserve">Unless inconsistent with a specific </w:t>
      </w:r>
      <w:r w:rsidR="00074909">
        <w:t xml:space="preserve">regulation, </w:t>
      </w:r>
      <w:r w:rsidR="00F255DF">
        <w:t>rule</w:t>
      </w:r>
      <w:r w:rsidR="00BE069B">
        <w:t xml:space="preserve">, </w:t>
      </w:r>
      <w:r w:rsidRPr="0032237E">
        <w:t>policy</w:t>
      </w:r>
      <w:r w:rsidR="00BE069B">
        <w:t xml:space="preserve"> or procedure</w:t>
      </w:r>
      <w:r w:rsidRPr="0032237E">
        <w:t xml:space="preserve"> governing the Recipient,</w:t>
      </w:r>
      <w:r w:rsidRPr="0032237E">
        <w:rPr>
          <w:b/>
          <w:bCs/>
        </w:rPr>
        <w:t xml:space="preserve"> </w:t>
      </w:r>
      <w:r w:rsidRPr="0032237E">
        <w:t>the Recipient will apply the IASC Six Core Principles Relating to Sexual Exploitation and Abuse (Annex I) and the following principles and practices when implementing</w:t>
      </w:r>
      <w:r w:rsidR="002E26E3" w:rsidRPr="0032237E">
        <w:t xml:space="preserve"> the activities under this </w:t>
      </w:r>
      <w:r w:rsidR="00C4581D">
        <w:t>arrangement</w:t>
      </w:r>
      <w:r w:rsidR="00C4581D" w:rsidRPr="0032237E">
        <w:t xml:space="preserve"> </w:t>
      </w:r>
      <w:r w:rsidR="002E26E3" w:rsidRPr="0032237E">
        <w:t xml:space="preserve">and provide evidence to demonstrate this where </w:t>
      </w:r>
      <w:r w:rsidR="00BC2A6A">
        <w:t>required</w:t>
      </w:r>
      <w:r w:rsidRPr="0032237E">
        <w:t>:</w:t>
      </w:r>
    </w:p>
    <w:p w14:paraId="2AD6980C" w14:textId="77777777" w:rsidR="00237EE2" w:rsidRPr="000A7912" w:rsidRDefault="00237EE2" w:rsidP="002E26E3">
      <w:pPr>
        <w:pStyle w:val="BodyText"/>
        <w:spacing w:before="33" w:line="278" w:lineRule="auto"/>
        <w:ind w:left="231" w:right="291"/>
      </w:pPr>
    </w:p>
    <w:p w14:paraId="6781385D" w14:textId="77777777" w:rsidR="00130B34" w:rsidRPr="000A7912" w:rsidRDefault="00130B34" w:rsidP="00130B34">
      <w:pPr>
        <w:pStyle w:val="ListParagraph"/>
        <w:numPr>
          <w:ilvl w:val="2"/>
          <w:numId w:val="1"/>
        </w:numPr>
        <w:tabs>
          <w:tab w:val="left" w:pos="1312"/>
        </w:tabs>
        <w:ind w:right="149"/>
        <w:rPr>
          <w:sz w:val="17"/>
        </w:rPr>
      </w:pPr>
      <w:r w:rsidRPr="000A7912">
        <w:rPr>
          <w:sz w:val="17"/>
        </w:rPr>
        <w:t>Adherence to the IASC-Minimum Operation Standards on “Protection from sexual exploitation and abuse by own personnel” and/or [the] SEA elements of the Core Humanitarian Standard on Quality and Accountability;</w:t>
      </w:r>
    </w:p>
    <w:p w14:paraId="635C2358" w14:textId="1EC56281" w:rsidR="00130B34" w:rsidRPr="000A7912" w:rsidRDefault="00130B34" w:rsidP="00130B34">
      <w:pPr>
        <w:pStyle w:val="ListParagraph"/>
        <w:numPr>
          <w:ilvl w:val="2"/>
          <w:numId w:val="1"/>
        </w:numPr>
        <w:tabs>
          <w:tab w:val="left" w:pos="1312"/>
        </w:tabs>
        <w:spacing w:line="206" w:lineRule="exact"/>
        <w:rPr>
          <w:sz w:val="17"/>
        </w:rPr>
      </w:pPr>
      <w:r w:rsidRPr="000A7912">
        <w:rPr>
          <w:sz w:val="17"/>
        </w:rPr>
        <w:t>A victim/survivor-</w:t>
      </w:r>
      <w:proofErr w:type="spellStart"/>
      <w:r w:rsidRPr="000A7912">
        <w:rPr>
          <w:sz w:val="17"/>
        </w:rPr>
        <w:t>centred</w:t>
      </w:r>
      <w:proofErr w:type="spellEnd"/>
      <w:r w:rsidRPr="000A7912">
        <w:rPr>
          <w:sz w:val="17"/>
        </w:rPr>
        <w:t xml:space="preserve"> approach</w:t>
      </w:r>
      <w:r w:rsidR="007D723E">
        <w:rPr>
          <w:rStyle w:val="FootnoteReference"/>
          <w:sz w:val="17"/>
        </w:rPr>
        <w:footnoteReference w:id="2"/>
      </w:r>
      <w:r w:rsidRPr="000A7912">
        <w:rPr>
          <w:position w:val="6"/>
          <w:sz w:val="11"/>
        </w:rPr>
        <w:t xml:space="preserve"> </w:t>
      </w:r>
      <w:r w:rsidRPr="000A7912">
        <w:rPr>
          <w:sz w:val="17"/>
        </w:rPr>
        <w:t>to SEA issues;</w:t>
      </w:r>
    </w:p>
    <w:p w14:paraId="60C4E5D2" w14:textId="77777777" w:rsidR="00130B34" w:rsidRPr="000A7912" w:rsidRDefault="00130B34" w:rsidP="00130B34">
      <w:pPr>
        <w:pStyle w:val="ListParagraph"/>
        <w:numPr>
          <w:ilvl w:val="2"/>
          <w:numId w:val="1"/>
        </w:numPr>
        <w:tabs>
          <w:tab w:val="left" w:pos="1312"/>
        </w:tabs>
        <w:spacing w:line="207" w:lineRule="exact"/>
        <w:rPr>
          <w:sz w:val="17"/>
        </w:rPr>
      </w:pPr>
      <w:r w:rsidRPr="000A7912">
        <w:rPr>
          <w:sz w:val="17"/>
        </w:rPr>
        <w:t>Strong leadership and signaling on tackling</w:t>
      </w:r>
      <w:r w:rsidRPr="000A7912">
        <w:rPr>
          <w:spacing w:val="-34"/>
          <w:sz w:val="17"/>
        </w:rPr>
        <w:t xml:space="preserve"> </w:t>
      </w:r>
      <w:r w:rsidRPr="000A7912">
        <w:rPr>
          <w:sz w:val="17"/>
        </w:rPr>
        <w:t>SEA;</w:t>
      </w:r>
    </w:p>
    <w:p w14:paraId="7CB196FB" w14:textId="77777777" w:rsidR="00130B34" w:rsidRPr="000A7912" w:rsidRDefault="00130B34" w:rsidP="00130B34">
      <w:pPr>
        <w:pStyle w:val="ListParagraph"/>
        <w:numPr>
          <w:ilvl w:val="2"/>
          <w:numId w:val="1"/>
        </w:numPr>
        <w:tabs>
          <w:tab w:val="left" w:pos="1312"/>
        </w:tabs>
        <w:ind w:right="1435"/>
        <w:rPr>
          <w:sz w:val="17"/>
        </w:rPr>
      </w:pPr>
      <w:r w:rsidRPr="000A7912">
        <w:rPr>
          <w:sz w:val="17"/>
        </w:rPr>
        <w:t>Make all reasonable efforts to address gender inequality and other power</w:t>
      </w:r>
      <w:r w:rsidRPr="000A7912">
        <w:rPr>
          <w:spacing w:val="-13"/>
          <w:sz w:val="17"/>
        </w:rPr>
        <w:t xml:space="preserve"> </w:t>
      </w:r>
      <w:r w:rsidRPr="000A7912">
        <w:rPr>
          <w:sz w:val="17"/>
        </w:rPr>
        <w:t>imbalances;</w:t>
      </w:r>
    </w:p>
    <w:p w14:paraId="43FA1864" w14:textId="6186980D" w:rsidR="00130B34" w:rsidRPr="000A7912" w:rsidRDefault="00130B34" w:rsidP="00130B34">
      <w:pPr>
        <w:pStyle w:val="ListParagraph"/>
        <w:numPr>
          <w:ilvl w:val="2"/>
          <w:numId w:val="1"/>
        </w:numPr>
        <w:tabs>
          <w:tab w:val="left" w:pos="1312"/>
        </w:tabs>
        <w:spacing w:before="1" w:line="206" w:lineRule="exact"/>
        <w:rPr>
          <w:sz w:val="17"/>
        </w:rPr>
      </w:pPr>
      <w:r w:rsidRPr="000A7912">
        <w:rPr>
          <w:sz w:val="17"/>
        </w:rPr>
        <w:t>Reporting to enhance accountability and</w:t>
      </w:r>
      <w:r w:rsidRPr="000A7912">
        <w:rPr>
          <w:spacing w:val="-40"/>
          <w:sz w:val="17"/>
        </w:rPr>
        <w:t xml:space="preserve"> </w:t>
      </w:r>
      <w:r w:rsidRPr="000A7912">
        <w:rPr>
          <w:sz w:val="17"/>
        </w:rPr>
        <w:t>transparency;</w:t>
      </w:r>
    </w:p>
    <w:p w14:paraId="6C867BE2" w14:textId="4225AAC5" w:rsidR="00130B34" w:rsidRDefault="00130B34" w:rsidP="00130B34">
      <w:pPr>
        <w:pStyle w:val="ListParagraph"/>
        <w:numPr>
          <w:ilvl w:val="2"/>
          <w:numId w:val="1"/>
        </w:numPr>
        <w:tabs>
          <w:tab w:val="left" w:pos="1311"/>
          <w:tab w:val="left" w:pos="1312"/>
        </w:tabs>
        <w:ind w:right="432"/>
        <w:rPr>
          <w:sz w:val="17"/>
        </w:rPr>
      </w:pPr>
      <w:r w:rsidRPr="000A7912">
        <w:rPr>
          <w:sz w:val="17"/>
        </w:rPr>
        <w:t>Ensure that SEA standards from this arrangement are reflected in funding templates with implementing partners, [for UN entities: by means such as, but not limited to, adherence to the United Nations Protocol on Allegations of Sexual Exploitation and Abuse Involving Implementing</w:t>
      </w:r>
      <w:r w:rsidRPr="000A7912">
        <w:rPr>
          <w:spacing w:val="-10"/>
          <w:sz w:val="17"/>
        </w:rPr>
        <w:t xml:space="preserve"> </w:t>
      </w:r>
      <w:r>
        <w:rPr>
          <w:sz w:val="17"/>
        </w:rPr>
        <w:t>Partners</w:t>
      </w:r>
      <w:r w:rsidR="00C739FE" w:rsidRPr="00FE3A9E">
        <w:rPr>
          <w:sz w:val="17"/>
        </w:rPr>
        <w:t>]</w:t>
      </w:r>
      <w:r w:rsidR="0098686F">
        <w:rPr>
          <w:sz w:val="17"/>
        </w:rPr>
        <w:t>.</w:t>
      </w:r>
    </w:p>
    <w:p w14:paraId="7E4B78D8" w14:textId="77777777" w:rsidR="00130B34" w:rsidRPr="000A7912" w:rsidRDefault="00130B34" w:rsidP="00130B34">
      <w:pPr>
        <w:pStyle w:val="ListParagraph"/>
        <w:tabs>
          <w:tab w:val="left" w:pos="1311"/>
          <w:tab w:val="left" w:pos="1312"/>
        </w:tabs>
        <w:ind w:right="432" w:firstLine="0"/>
        <w:rPr>
          <w:sz w:val="17"/>
        </w:rPr>
      </w:pPr>
    </w:p>
    <w:p w14:paraId="3067FE77" w14:textId="77777777" w:rsidR="00130B34" w:rsidRPr="00996FF8" w:rsidRDefault="00130B34" w:rsidP="00130B34">
      <w:pPr>
        <w:pStyle w:val="BodyText"/>
        <w:spacing w:before="42"/>
        <w:ind w:left="231"/>
        <w:rPr>
          <w:bCs/>
        </w:rPr>
      </w:pPr>
      <w:r w:rsidRPr="00996FF8">
        <w:rPr>
          <w:bCs/>
        </w:rPr>
        <w:t>b. Sexual harassment</w:t>
      </w:r>
    </w:p>
    <w:p w14:paraId="2099E8C9" w14:textId="6BAC302F" w:rsidR="00130B34" w:rsidRDefault="00130B34" w:rsidP="00130B34">
      <w:pPr>
        <w:pStyle w:val="BodyText"/>
        <w:spacing w:before="33" w:line="278" w:lineRule="auto"/>
        <w:ind w:left="231" w:right="310"/>
      </w:pPr>
      <w:r w:rsidRPr="000A7912">
        <w:t>The Donor and the Recipient have a zero tolerance for inaction approach to tackling sexual harassment (“SH”).</w:t>
      </w:r>
      <w:r w:rsidR="007D723E">
        <w:rPr>
          <w:rStyle w:val="FootnoteReference"/>
        </w:rPr>
        <w:footnoteReference w:id="3"/>
      </w:r>
      <w:r w:rsidRPr="000A7912">
        <w:t>This means the Recipient will take all reasonable steps to prevent SH and respond appropriately when reports of SH arise, in accordance with its regulations, rules</w:t>
      </w:r>
      <w:r w:rsidR="000866A1">
        <w:t>,</w:t>
      </w:r>
      <w:r w:rsidRPr="000A7912">
        <w:t xml:space="preserve"> </w:t>
      </w:r>
      <w:r w:rsidR="00F255DF">
        <w:t>policies</w:t>
      </w:r>
      <w:r w:rsidR="000866A1">
        <w:t xml:space="preserve"> and proc</w:t>
      </w:r>
      <w:r w:rsidR="00A51E9A">
        <w:t>edures</w:t>
      </w:r>
      <w:r w:rsidRPr="000A7912">
        <w:t>.</w:t>
      </w:r>
    </w:p>
    <w:p w14:paraId="0BD76846" w14:textId="77777777" w:rsidR="00A93187" w:rsidRPr="000A7912" w:rsidRDefault="00A93187" w:rsidP="00130B34">
      <w:pPr>
        <w:pStyle w:val="BodyText"/>
        <w:spacing w:before="33" w:line="278" w:lineRule="auto"/>
        <w:ind w:left="231" w:right="310"/>
      </w:pPr>
    </w:p>
    <w:p w14:paraId="4B841A6C" w14:textId="645587F4" w:rsidR="00130B34" w:rsidRDefault="00130B34" w:rsidP="00130B34">
      <w:pPr>
        <w:pStyle w:val="BodyText"/>
        <w:spacing w:line="278" w:lineRule="auto"/>
        <w:ind w:left="231" w:right="168"/>
      </w:pPr>
      <w:r w:rsidRPr="000A7912">
        <w:t xml:space="preserve">Unless inconsistent with a specific </w:t>
      </w:r>
      <w:r w:rsidR="00F255DF">
        <w:t>regulation, rule</w:t>
      </w:r>
      <w:r w:rsidR="000866A1">
        <w:t>,</w:t>
      </w:r>
      <w:r w:rsidR="00F255DF">
        <w:t xml:space="preserve"> </w:t>
      </w:r>
      <w:r w:rsidRPr="000A7912">
        <w:t>policy</w:t>
      </w:r>
      <w:r w:rsidR="000866A1">
        <w:t xml:space="preserve"> or procedure</w:t>
      </w:r>
      <w:r w:rsidRPr="000A7912">
        <w:t xml:space="preserve"> governing the Recipient,</w:t>
      </w:r>
      <w:r w:rsidRPr="000A7912">
        <w:rPr>
          <w:b/>
          <w:bCs/>
        </w:rPr>
        <w:t xml:space="preserve"> </w:t>
      </w:r>
      <w:r w:rsidRPr="000A7912">
        <w:t xml:space="preserve">the Recipient will apply the following principles and practices when implementing </w:t>
      </w:r>
      <w:r w:rsidR="000135CB" w:rsidRPr="0032237E">
        <w:t xml:space="preserve">the activities under this </w:t>
      </w:r>
      <w:r w:rsidR="000135CB">
        <w:t>arrangement</w:t>
      </w:r>
      <w:r w:rsidRPr="000A7912">
        <w:t>:</w:t>
      </w:r>
    </w:p>
    <w:p w14:paraId="144481C3" w14:textId="77777777" w:rsidR="00237EE2" w:rsidRPr="000A7912" w:rsidRDefault="00237EE2" w:rsidP="00130B34">
      <w:pPr>
        <w:pStyle w:val="BodyText"/>
        <w:spacing w:line="278" w:lineRule="auto"/>
        <w:ind w:left="231" w:right="168"/>
      </w:pPr>
    </w:p>
    <w:p w14:paraId="25F66BF1" w14:textId="404D9793" w:rsidR="00130B34" w:rsidRPr="000A7912" w:rsidRDefault="00130B34" w:rsidP="003810F9">
      <w:pPr>
        <w:pStyle w:val="ListParagraph"/>
        <w:numPr>
          <w:ilvl w:val="2"/>
          <w:numId w:val="2"/>
        </w:numPr>
        <w:spacing w:line="206" w:lineRule="exact"/>
        <w:rPr>
          <w:sz w:val="17"/>
        </w:rPr>
      </w:pPr>
      <w:r w:rsidRPr="000A7912">
        <w:rPr>
          <w:sz w:val="17"/>
        </w:rPr>
        <w:t>A victim/survivor-</w:t>
      </w:r>
      <w:proofErr w:type="spellStart"/>
      <w:r w:rsidRPr="000A7912">
        <w:rPr>
          <w:sz w:val="17"/>
        </w:rPr>
        <w:t>centred</w:t>
      </w:r>
      <w:proofErr w:type="spellEnd"/>
      <w:r w:rsidRPr="000A7912">
        <w:rPr>
          <w:sz w:val="17"/>
        </w:rPr>
        <w:t xml:space="preserve"> approach</w:t>
      </w:r>
      <w:r w:rsidRPr="000A7912">
        <w:rPr>
          <w:position w:val="6"/>
          <w:sz w:val="11"/>
        </w:rPr>
        <w:t xml:space="preserve"> </w:t>
      </w:r>
      <w:r w:rsidRPr="000A7912">
        <w:rPr>
          <w:sz w:val="17"/>
        </w:rPr>
        <w:t>to SH issues;</w:t>
      </w:r>
    </w:p>
    <w:p w14:paraId="7997B3B2" w14:textId="77777777" w:rsidR="00130B34" w:rsidRPr="000A7912" w:rsidRDefault="00130B34" w:rsidP="003810F9">
      <w:pPr>
        <w:pStyle w:val="ListParagraph"/>
        <w:numPr>
          <w:ilvl w:val="2"/>
          <w:numId w:val="2"/>
        </w:numPr>
        <w:spacing w:line="207" w:lineRule="exact"/>
        <w:rPr>
          <w:sz w:val="17"/>
        </w:rPr>
      </w:pPr>
      <w:r w:rsidRPr="000A7912">
        <w:rPr>
          <w:sz w:val="17"/>
        </w:rPr>
        <w:lastRenderedPageBreak/>
        <w:t>Strong leadership and signaling on tackling</w:t>
      </w:r>
      <w:r w:rsidRPr="000A7912">
        <w:rPr>
          <w:spacing w:val="-34"/>
          <w:sz w:val="17"/>
        </w:rPr>
        <w:t xml:space="preserve"> </w:t>
      </w:r>
      <w:r w:rsidRPr="000A7912">
        <w:rPr>
          <w:sz w:val="17"/>
        </w:rPr>
        <w:t>SH;</w:t>
      </w:r>
    </w:p>
    <w:p w14:paraId="4BD5A7E1" w14:textId="77777777" w:rsidR="00130B34" w:rsidRPr="000A7912" w:rsidRDefault="00130B34" w:rsidP="003810F9">
      <w:pPr>
        <w:pStyle w:val="ListParagraph"/>
        <w:numPr>
          <w:ilvl w:val="2"/>
          <w:numId w:val="2"/>
        </w:numPr>
        <w:ind w:right="1435"/>
        <w:rPr>
          <w:sz w:val="17"/>
        </w:rPr>
      </w:pPr>
      <w:r w:rsidRPr="000A7912">
        <w:rPr>
          <w:sz w:val="17"/>
        </w:rPr>
        <w:t>Make all reasonable efforts to address gender inequality and other power</w:t>
      </w:r>
      <w:r w:rsidRPr="000A7912">
        <w:rPr>
          <w:spacing w:val="-13"/>
          <w:sz w:val="17"/>
        </w:rPr>
        <w:t xml:space="preserve"> </w:t>
      </w:r>
      <w:r w:rsidRPr="000A7912">
        <w:rPr>
          <w:sz w:val="17"/>
        </w:rPr>
        <w:t>imbalances;</w:t>
      </w:r>
    </w:p>
    <w:p w14:paraId="5E963216" w14:textId="43CF9C3C" w:rsidR="00130B34" w:rsidRPr="000A7912" w:rsidRDefault="00130B34" w:rsidP="003810F9">
      <w:pPr>
        <w:pStyle w:val="ListParagraph"/>
        <w:numPr>
          <w:ilvl w:val="2"/>
          <w:numId w:val="2"/>
        </w:numPr>
        <w:spacing w:before="1" w:line="206" w:lineRule="exact"/>
        <w:rPr>
          <w:sz w:val="17"/>
        </w:rPr>
      </w:pPr>
      <w:r w:rsidRPr="000A7912">
        <w:rPr>
          <w:sz w:val="17"/>
        </w:rPr>
        <w:t>Reporting to enhance accountability and</w:t>
      </w:r>
      <w:r w:rsidR="004F415F">
        <w:rPr>
          <w:spacing w:val="-40"/>
          <w:sz w:val="17"/>
        </w:rPr>
        <w:t xml:space="preserve"> </w:t>
      </w:r>
      <w:r w:rsidRPr="000A7912">
        <w:rPr>
          <w:sz w:val="17"/>
        </w:rPr>
        <w:t>transparency;</w:t>
      </w:r>
    </w:p>
    <w:p w14:paraId="430C5D8B" w14:textId="77777777" w:rsidR="00130B34" w:rsidRDefault="00130B34" w:rsidP="003810F9">
      <w:pPr>
        <w:ind w:left="284"/>
        <w:rPr>
          <w:position w:val="6"/>
          <w:sz w:val="8"/>
        </w:rPr>
      </w:pPr>
    </w:p>
    <w:p w14:paraId="686B1FF5" w14:textId="77777777" w:rsidR="00A93187" w:rsidRDefault="00A93187" w:rsidP="00130B34">
      <w:pPr>
        <w:pStyle w:val="BodyText"/>
        <w:spacing w:before="33" w:line="207" w:lineRule="exact"/>
        <w:ind w:left="231" w:right="179"/>
      </w:pPr>
    </w:p>
    <w:p w14:paraId="166F3F4A" w14:textId="77777777" w:rsidR="00D94527" w:rsidRDefault="00D94527" w:rsidP="00130B34">
      <w:pPr>
        <w:pStyle w:val="BodyText"/>
        <w:spacing w:before="33" w:line="207" w:lineRule="exact"/>
        <w:ind w:left="231" w:right="179"/>
        <w:rPr>
          <w:b/>
        </w:rPr>
      </w:pPr>
    </w:p>
    <w:p w14:paraId="1EB02E1B" w14:textId="430AF53F" w:rsidR="00130B34" w:rsidRPr="00996FF8" w:rsidRDefault="00130B34" w:rsidP="00130B34">
      <w:pPr>
        <w:pStyle w:val="BodyText"/>
        <w:spacing w:before="33" w:line="207" w:lineRule="exact"/>
        <w:ind w:left="231" w:right="179"/>
      </w:pPr>
      <w:r w:rsidRPr="00996FF8">
        <w:t>2. The Recipient will adhere to the following requirements:</w:t>
      </w:r>
    </w:p>
    <w:p w14:paraId="67E587DD" w14:textId="77777777" w:rsidR="00130B34" w:rsidRPr="00996FF8" w:rsidRDefault="00130B34" w:rsidP="00996FF8">
      <w:pPr>
        <w:pStyle w:val="BodyText"/>
        <w:spacing w:before="101"/>
        <w:ind w:left="426"/>
        <w:rPr>
          <w:bCs/>
        </w:rPr>
      </w:pPr>
      <w:r w:rsidRPr="00996FF8">
        <w:rPr>
          <w:bCs/>
        </w:rPr>
        <w:t>a. Allegations of SEA</w:t>
      </w:r>
    </w:p>
    <w:p w14:paraId="2126E987" w14:textId="68292C70" w:rsidR="0032237E" w:rsidRDefault="00130B34" w:rsidP="00996FF8">
      <w:pPr>
        <w:pStyle w:val="BodyText"/>
        <w:spacing w:before="101"/>
        <w:ind w:left="426"/>
      </w:pPr>
      <w:r>
        <w:t>(</w:t>
      </w:r>
      <w:proofErr w:type="spellStart"/>
      <w:r>
        <w:t>i</w:t>
      </w:r>
      <w:proofErr w:type="spellEnd"/>
      <w:r>
        <w:t xml:space="preserve">) The Recipient will </w:t>
      </w:r>
      <w:r w:rsidR="002E26E3">
        <w:t xml:space="preserve">promptly </w:t>
      </w:r>
      <w:r>
        <w:t xml:space="preserve">report all allegations of SEA credible enough to warrant an investigation through the Secretary-General’s reporting mechanism (the ”Report”).  </w:t>
      </w:r>
    </w:p>
    <w:p w14:paraId="13421D14" w14:textId="107C2B44" w:rsidR="00130B34" w:rsidRPr="00754C8C" w:rsidRDefault="00130B34" w:rsidP="00996FF8">
      <w:pPr>
        <w:pStyle w:val="BodyText"/>
        <w:spacing w:before="101"/>
        <w:ind w:left="426"/>
      </w:pPr>
      <w:r w:rsidRPr="007D5EEC">
        <w:t xml:space="preserve">(ii) </w:t>
      </w:r>
      <w:r w:rsidR="003D6D3A">
        <w:t xml:space="preserve">When the </w:t>
      </w:r>
      <w:r w:rsidR="008D0546">
        <w:t xml:space="preserve">Recipient </w:t>
      </w:r>
      <w:r w:rsidR="003D6D3A" w:rsidRPr="0032237E">
        <w:t xml:space="preserve">reports an allegation of SEA to, or becomes aware of an allegation reported through, the Report that </w:t>
      </w:r>
      <w:r w:rsidRPr="0032237E">
        <w:t xml:space="preserve">is </w:t>
      </w:r>
      <w:r w:rsidR="00FA3098" w:rsidRPr="003A2960">
        <w:t>(</w:t>
      </w:r>
      <w:proofErr w:type="spellStart"/>
      <w:r w:rsidR="00FA3098" w:rsidRPr="003A2960">
        <w:t>i</w:t>
      </w:r>
      <w:proofErr w:type="spellEnd"/>
      <w:r w:rsidR="00FA3098" w:rsidRPr="003A2960">
        <w:t>)</w:t>
      </w:r>
      <w:r w:rsidR="00FA3098" w:rsidRPr="0032237E">
        <w:t xml:space="preserve"> </w:t>
      </w:r>
      <w:r w:rsidRPr="0032237E">
        <w:t>directly related to the activities funded by this arrangement or, (ii) would have a significant impact on</w:t>
      </w:r>
      <w:r w:rsidRPr="007D5EEC">
        <w:t xml:space="preserve"> the partnership between the Recipient and the Donor</w:t>
      </w:r>
      <w:r w:rsidR="00992DEA" w:rsidRPr="00754C8C">
        <w:t xml:space="preserve">, </w:t>
      </w:r>
      <w:r w:rsidRPr="00754C8C">
        <w:t>the Recipient will promptly notify [Donor point of contact]</w:t>
      </w:r>
      <w:r w:rsidR="003D6D3A">
        <w:t xml:space="preserve"> of the report made and the relevant </w:t>
      </w:r>
      <w:r w:rsidR="00237EE2">
        <w:t xml:space="preserve">arrangement </w:t>
      </w:r>
      <w:r w:rsidR="003D6D3A">
        <w:t>number, if applicable</w:t>
      </w:r>
      <w:r w:rsidRPr="00754C8C">
        <w:t xml:space="preserve"> and provide information containing the level of detail that the Recipient is aware of</w:t>
      </w:r>
      <w:r w:rsidR="00817CF8">
        <w:t xml:space="preserve">. </w:t>
      </w:r>
    </w:p>
    <w:p w14:paraId="31D712DE" w14:textId="43C0DCCB" w:rsidR="00835CF1" w:rsidRPr="002E26E3" w:rsidRDefault="00782C5D" w:rsidP="00996FF8">
      <w:pPr>
        <w:pStyle w:val="BodyText"/>
        <w:spacing w:before="101"/>
        <w:ind w:left="426"/>
      </w:pPr>
      <w:r>
        <w:t>(</w:t>
      </w:r>
      <w:r w:rsidR="00835CF1">
        <w:t xml:space="preserve">iii) </w:t>
      </w:r>
      <w:r w:rsidR="00835CF1" w:rsidRPr="002E26E3">
        <w:t xml:space="preserve">Upon request from </w:t>
      </w:r>
      <w:r w:rsidR="00835CF1">
        <w:t>the Donor</w:t>
      </w:r>
      <w:r w:rsidR="00835CF1" w:rsidRPr="002E26E3">
        <w:t xml:space="preserve">, the </w:t>
      </w:r>
      <w:r w:rsidR="00035E00">
        <w:t>R</w:t>
      </w:r>
      <w:r w:rsidR="00035E00" w:rsidRPr="002E26E3">
        <w:t xml:space="preserve">ecipient </w:t>
      </w:r>
      <w:r w:rsidR="00835CF1" w:rsidRPr="002E26E3">
        <w:t>agrees to provide</w:t>
      </w:r>
      <w:r w:rsidR="007251C2">
        <w:t xml:space="preserve"> </w:t>
      </w:r>
      <w:r w:rsidR="00835CF1" w:rsidRPr="002E26E3">
        <w:t xml:space="preserve">further available relevant information </w:t>
      </w:r>
      <w:r w:rsidR="0032237E">
        <w:t>the Recipient is aware of f</w:t>
      </w:r>
      <w:r w:rsidR="00835CF1" w:rsidRPr="002E26E3">
        <w:t>or allega</w:t>
      </w:r>
      <w:r w:rsidR="00835CF1">
        <w:t>tions notified under paragraph 2a (ii)</w:t>
      </w:r>
      <w:r w:rsidR="007251C2" w:rsidRPr="007251C2">
        <w:rPr>
          <w:color w:val="FF0000"/>
          <w:lang w:eastAsia="en-GB"/>
        </w:rPr>
        <w:t xml:space="preserve"> </w:t>
      </w:r>
      <w:r w:rsidR="007251C2" w:rsidRPr="007251C2">
        <w:t xml:space="preserve">including about subsequent measures taken by the </w:t>
      </w:r>
      <w:r w:rsidR="00035E00">
        <w:t>R</w:t>
      </w:r>
      <w:r w:rsidR="00035E00" w:rsidRPr="007251C2">
        <w:t>ecipient</w:t>
      </w:r>
      <w:r w:rsidR="007251C2" w:rsidRPr="007251C2">
        <w:t xml:space="preserve">, </w:t>
      </w:r>
      <w:r w:rsidR="00835CF1" w:rsidRPr="007251C2">
        <w:t>unless disclosure of such informati</w:t>
      </w:r>
      <w:r w:rsidR="00835CF1" w:rsidRPr="002E26E3">
        <w:t xml:space="preserve">on would be inconsistent with the </w:t>
      </w:r>
      <w:r w:rsidR="00035E00">
        <w:t>R</w:t>
      </w:r>
      <w:r w:rsidR="00035E00" w:rsidRPr="002E26E3">
        <w:t xml:space="preserve">ecipient’s </w:t>
      </w:r>
      <w:r w:rsidR="0088172F">
        <w:t xml:space="preserve">regulations, </w:t>
      </w:r>
      <w:r w:rsidR="00835CF1" w:rsidRPr="002E26E3">
        <w:t>rules</w:t>
      </w:r>
      <w:r w:rsidR="001D3971">
        <w:t xml:space="preserve">, </w:t>
      </w:r>
      <w:r w:rsidR="0088172F">
        <w:t>policies</w:t>
      </w:r>
      <w:r w:rsidR="0088172F" w:rsidRPr="002E26E3">
        <w:t xml:space="preserve"> </w:t>
      </w:r>
      <w:r w:rsidR="00F905BF">
        <w:t>and</w:t>
      </w:r>
      <w:r w:rsidR="001D3971">
        <w:t xml:space="preserve"> proce</w:t>
      </w:r>
      <w:r w:rsidR="00F905BF">
        <w:t xml:space="preserve">dures </w:t>
      </w:r>
      <w:r w:rsidR="00835CF1" w:rsidRPr="002E26E3">
        <w:t>concerning disclosure of information</w:t>
      </w:r>
    </w:p>
    <w:p w14:paraId="6A624062" w14:textId="77777777" w:rsidR="00130B34" w:rsidRPr="002E26E3" w:rsidRDefault="00130B34" w:rsidP="00130B34">
      <w:pPr>
        <w:pStyle w:val="BodyText"/>
        <w:spacing w:before="101"/>
        <w:ind w:left="231"/>
      </w:pPr>
    </w:p>
    <w:p w14:paraId="564CF1AD" w14:textId="55576279" w:rsidR="00130B34" w:rsidRPr="00996FF8" w:rsidRDefault="00130B34" w:rsidP="00996FF8">
      <w:pPr>
        <w:pStyle w:val="BodyText"/>
        <w:spacing w:before="101"/>
        <w:ind w:left="426"/>
        <w:rPr>
          <w:bCs/>
        </w:rPr>
      </w:pPr>
      <w:r w:rsidRPr="00996FF8">
        <w:rPr>
          <w:bCs/>
        </w:rPr>
        <w:t>b. Allegations of SH</w:t>
      </w:r>
    </w:p>
    <w:p w14:paraId="243B633E" w14:textId="77777777" w:rsidR="0032237E" w:rsidRDefault="00130B34" w:rsidP="0032237E">
      <w:pPr>
        <w:pStyle w:val="BodyText"/>
        <w:spacing w:before="101"/>
        <w:ind w:left="426"/>
      </w:pPr>
      <w:r w:rsidRPr="00BA42C0">
        <w:t>(</w:t>
      </w:r>
      <w:proofErr w:type="spellStart"/>
      <w:r w:rsidRPr="00BA42C0">
        <w:t>i</w:t>
      </w:r>
      <w:proofErr w:type="spellEnd"/>
      <w:r w:rsidRPr="00BA42C0">
        <w:t xml:space="preserve">) The Recipient will report allegations of sexual harassment </w:t>
      </w:r>
      <w:r w:rsidRPr="00835CF1">
        <w:t xml:space="preserve">and measures taken </w:t>
      </w:r>
      <w:r w:rsidRPr="00BA42C0">
        <w:t>through existing reporting mechanisms.</w:t>
      </w:r>
      <w:r w:rsidR="0032237E">
        <w:t xml:space="preserve"> </w:t>
      </w:r>
    </w:p>
    <w:p w14:paraId="5D929161" w14:textId="77777777" w:rsidR="0032237E" w:rsidRDefault="00130B34" w:rsidP="0032237E">
      <w:pPr>
        <w:pStyle w:val="BodyText"/>
        <w:spacing w:before="101"/>
        <w:ind w:left="426"/>
      </w:pPr>
      <w:r w:rsidRPr="00BA42C0">
        <w:t xml:space="preserve">(ii) Where the Recipient has determined that the allegations would have a significant impact on the partnership between the Recipient and the Donor, the Recipient will promptly notify [Donor point of contact] and </w:t>
      </w:r>
      <w:r w:rsidRPr="00FF743D">
        <w:t xml:space="preserve">provide information containing </w:t>
      </w:r>
      <w:r w:rsidR="00835CF1" w:rsidRPr="00835CF1">
        <w:t>the level of detail of the existing reporting mechanisms</w:t>
      </w:r>
      <w:r w:rsidR="001142DB">
        <w:t xml:space="preserve">. </w:t>
      </w:r>
    </w:p>
    <w:p w14:paraId="1ADA42E3" w14:textId="2BC1957C" w:rsidR="00130B34" w:rsidRPr="00835CF1" w:rsidRDefault="00782C5D" w:rsidP="0032237E">
      <w:pPr>
        <w:pStyle w:val="BodyText"/>
        <w:spacing w:before="101"/>
        <w:ind w:left="426"/>
      </w:pPr>
      <w:r>
        <w:t>(</w:t>
      </w:r>
      <w:r w:rsidR="00F02CD3">
        <w:t xml:space="preserve">iii) </w:t>
      </w:r>
      <w:r w:rsidR="003D6D3A">
        <w:t xml:space="preserve">Upon request from the Donor, the </w:t>
      </w:r>
      <w:r w:rsidR="00C72710">
        <w:t xml:space="preserve">Recipient </w:t>
      </w:r>
      <w:r w:rsidR="003D6D3A">
        <w:t>agrees to provide further available relevant information,</w:t>
      </w:r>
      <w:r w:rsidR="0032237E">
        <w:t xml:space="preserve"> that the Recipient </w:t>
      </w:r>
      <w:r w:rsidR="008D0546">
        <w:t xml:space="preserve">is </w:t>
      </w:r>
      <w:r w:rsidR="0032237E">
        <w:t>aware of unl</w:t>
      </w:r>
      <w:r w:rsidR="003D6D3A">
        <w:t xml:space="preserve">ess disclosure of such information would be inconsistent with the </w:t>
      </w:r>
      <w:r w:rsidR="00035E00">
        <w:t xml:space="preserve">Recipient’s </w:t>
      </w:r>
      <w:r w:rsidR="00E23C53">
        <w:t xml:space="preserve">regulations, </w:t>
      </w:r>
      <w:r w:rsidR="003D6D3A">
        <w:t>rules</w:t>
      </w:r>
      <w:r w:rsidR="002A029D">
        <w:t>,</w:t>
      </w:r>
      <w:r w:rsidR="003D6D3A">
        <w:t xml:space="preserve"> </w:t>
      </w:r>
      <w:r w:rsidR="00E23C53">
        <w:t>policies</w:t>
      </w:r>
      <w:r w:rsidR="002A029D">
        <w:t xml:space="preserve"> and procedures</w:t>
      </w:r>
      <w:r w:rsidR="00E23C53">
        <w:t xml:space="preserve"> </w:t>
      </w:r>
      <w:r w:rsidR="003D6D3A">
        <w:t>concerning disclosure of information.</w:t>
      </w:r>
    </w:p>
    <w:p w14:paraId="20B1C761" w14:textId="453C0D78" w:rsidR="00130B34" w:rsidRPr="00BA42C0" w:rsidRDefault="00130B34" w:rsidP="0032237E">
      <w:pPr>
        <w:rPr>
          <w:b/>
          <w:bCs/>
          <w:u w:val="single"/>
        </w:rPr>
      </w:pPr>
    </w:p>
    <w:p w14:paraId="5F3A9739" w14:textId="0F4EDBC3" w:rsidR="00130B34" w:rsidRPr="00BA42C0" w:rsidRDefault="0032237E" w:rsidP="00130B34">
      <w:pPr>
        <w:ind w:left="284"/>
        <w:rPr>
          <w:sz w:val="17"/>
        </w:rPr>
      </w:pPr>
      <w:r>
        <w:rPr>
          <w:sz w:val="17"/>
        </w:rPr>
        <w:t>3</w:t>
      </w:r>
      <w:r w:rsidR="00130B34" w:rsidRPr="00BA42C0">
        <w:rPr>
          <w:sz w:val="17"/>
        </w:rPr>
        <w:t>. It is understood and accepted that the Recipient’s arrangement to report on SEA and SH will be performed in accordance with the Recipient’s regulations, rules</w:t>
      </w:r>
      <w:r w:rsidR="002A029D">
        <w:rPr>
          <w:sz w:val="17"/>
        </w:rPr>
        <w:t>,</w:t>
      </w:r>
      <w:r w:rsidR="00130B34" w:rsidRPr="00BA42C0">
        <w:rPr>
          <w:sz w:val="17"/>
        </w:rPr>
        <w:t xml:space="preserve"> policies</w:t>
      </w:r>
      <w:r w:rsidR="002A029D">
        <w:rPr>
          <w:sz w:val="17"/>
        </w:rPr>
        <w:t xml:space="preserve"> and procedures</w:t>
      </w:r>
      <w:r w:rsidR="00B75F7B">
        <w:rPr>
          <w:sz w:val="17"/>
        </w:rPr>
        <w:t>,</w:t>
      </w:r>
      <w:r w:rsidR="00130B34" w:rsidRPr="00BA42C0">
        <w:rPr>
          <w:sz w:val="17"/>
        </w:rPr>
        <w:t xml:space="preserve"> including its rules on confidentiality, and is subject to not compromising the safety, security, privacy and due process rights of any concerned persons.</w:t>
      </w:r>
    </w:p>
    <w:p w14:paraId="65C84E61" w14:textId="77777777" w:rsidR="00130B34" w:rsidRDefault="00130B34" w:rsidP="00130B34">
      <w:pPr>
        <w:ind w:left="284"/>
        <w:rPr>
          <w:sz w:val="17"/>
        </w:rPr>
      </w:pPr>
    </w:p>
    <w:p w14:paraId="5073D5ED" w14:textId="5F518CD9" w:rsidR="00130B34" w:rsidRPr="00BA42C0" w:rsidRDefault="0032237E" w:rsidP="00130B34">
      <w:pPr>
        <w:ind w:left="284"/>
        <w:rPr>
          <w:sz w:val="17"/>
        </w:rPr>
      </w:pPr>
      <w:r>
        <w:rPr>
          <w:sz w:val="17"/>
        </w:rPr>
        <w:t>4</w:t>
      </w:r>
      <w:r w:rsidR="00130B34" w:rsidRPr="00BA42C0">
        <w:rPr>
          <w:sz w:val="17"/>
        </w:rPr>
        <w:t>. When the Recipien</w:t>
      </w:r>
      <w:r w:rsidR="00E31A4C">
        <w:rPr>
          <w:sz w:val="17"/>
        </w:rPr>
        <w:t xml:space="preserve">t becomes aware of </w:t>
      </w:r>
      <w:r w:rsidR="002E42EC">
        <w:rPr>
          <w:sz w:val="17"/>
        </w:rPr>
        <w:t xml:space="preserve">reasonable </w:t>
      </w:r>
      <w:r w:rsidR="00835CF1">
        <w:rPr>
          <w:sz w:val="17"/>
        </w:rPr>
        <w:t>suspicions, complaints or</w:t>
      </w:r>
      <w:r w:rsidR="00E31A4C">
        <w:rPr>
          <w:sz w:val="17"/>
        </w:rPr>
        <w:t xml:space="preserve"> report</w:t>
      </w:r>
      <w:r w:rsidR="00835CF1">
        <w:rPr>
          <w:sz w:val="17"/>
        </w:rPr>
        <w:t>s</w:t>
      </w:r>
      <w:r w:rsidR="00E31A4C">
        <w:rPr>
          <w:sz w:val="17"/>
        </w:rPr>
        <w:t xml:space="preserve"> of</w:t>
      </w:r>
      <w:r w:rsidR="00130B34" w:rsidRPr="00BA42C0">
        <w:rPr>
          <w:sz w:val="17"/>
        </w:rPr>
        <w:t xml:space="preserve"> SEA or SH by its personnel, the Recipient will</w:t>
      </w:r>
      <w:r w:rsidR="00BC2A6A">
        <w:rPr>
          <w:sz w:val="17"/>
        </w:rPr>
        <w:t xml:space="preserve">, </w:t>
      </w:r>
      <w:r w:rsidR="00BC2A6A" w:rsidRPr="003A2960">
        <w:rPr>
          <w:sz w:val="17"/>
        </w:rPr>
        <w:t>as appropriate under its regulations, rules, policies</w:t>
      </w:r>
      <w:r w:rsidR="00BC2A6A">
        <w:rPr>
          <w:sz w:val="17"/>
        </w:rPr>
        <w:t>,</w:t>
      </w:r>
      <w:r w:rsidR="00B75F7B">
        <w:rPr>
          <w:sz w:val="17"/>
        </w:rPr>
        <w:t xml:space="preserve"> and procedures,</w:t>
      </w:r>
      <w:r w:rsidR="00130B34" w:rsidRPr="00BA42C0">
        <w:rPr>
          <w:sz w:val="17"/>
        </w:rPr>
        <w:t xml:space="preserve"> take reasonable, swift and appropriate action to stop harm occurring, investigate and report to relevant authorities (for potential criminal matters), as appropriate and when safe to do so, after considering the wishes of the victim/survivor.</w:t>
      </w:r>
    </w:p>
    <w:p w14:paraId="06E2B427" w14:textId="77777777" w:rsidR="00130B34" w:rsidRDefault="00130B34" w:rsidP="00130B34">
      <w:pPr>
        <w:ind w:left="284"/>
        <w:rPr>
          <w:sz w:val="17"/>
        </w:rPr>
      </w:pPr>
    </w:p>
    <w:p w14:paraId="4225E17C" w14:textId="2378DCB0" w:rsidR="00130B34" w:rsidRPr="00BA42C0" w:rsidRDefault="0032237E" w:rsidP="00130B34">
      <w:pPr>
        <w:ind w:left="284"/>
        <w:rPr>
          <w:sz w:val="17"/>
        </w:rPr>
      </w:pPr>
      <w:r>
        <w:rPr>
          <w:sz w:val="17"/>
        </w:rPr>
        <w:t>5</w:t>
      </w:r>
      <w:r w:rsidR="00130B34" w:rsidRPr="00BA42C0">
        <w:rPr>
          <w:sz w:val="17"/>
        </w:rPr>
        <w:t xml:space="preserve">. The Donor or any of its duly authorized representatives may, </w:t>
      </w:r>
      <w:r w:rsidR="00130B34" w:rsidRPr="00E31A4C">
        <w:rPr>
          <w:sz w:val="17"/>
        </w:rPr>
        <w:t>in accordance with agreed mutually accepted terms of reference</w:t>
      </w:r>
      <w:r w:rsidR="00130B34" w:rsidRPr="00BA42C0">
        <w:rPr>
          <w:sz w:val="17"/>
        </w:rPr>
        <w:t xml:space="preserve">, </w:t>
      </w:r>
      <w:r w:rsidR="00130B34" w:rsidRPr="002E42EC">
        <w:rPr>
          <w:sz w:val="17"/>
        </w:rPr>
        <w:t>carry out reviews or evaluations</w:t>
      </w:r>
      <w:r w:rsidR="00E31A4C" w:rsidRPr="002E42EC">
        <w:rPr>
          <w:sz w:val="17"/>
        </w:rPr>
        <w:t xml:space="preserve"> </w:t>
      </w:r>
      <w:r w:rsidR="002E42EC" w:rsidRPr="002E42EC">
        <w:rPr>
          <w:sz w:val="17"/>
        </w:rPr>
        <w:t xml:space="preserve">or other </w:t>
      </w:r>
      <w:r w:rsidRPr="003A2960">
        <w:rPr>
          <w:sz w:val="17"/>
        </w:rPr>
        <w:t>assessment</w:t>
      </w:r>
      <w:r w:rsidR="002E42EC" w:rsidRPr="002E42EC">
        <w:rPr>
          <w:sz w:val="17"/>
        </w:rPr>
        <w:t xml:space="preserve"> measures </w:t>
      </w:r>
      <w:r w:rsidR="00130B34" w:rsidRPr="002E42EC">
        <w:rPr>
          <w:sz w:val="17"/>
        </w:rPr>
        <w:t xml:space="preserve">to verify the Recipient’s zero </w:t>
      </w:r>
      <w:r w:rsidR="00130B34" w:rsidRPr="00BA42C0">
        <w:rPr>
          <w:sz w:val="17"/>
        </w:rPr>
        <w:t>tolerance for SEA and SH, provided that such measures are consistent with the single audit principle governing the UN, if applicable. The Recipient will fully cooperate within the scope of the terms of reference with any such reasonable requests by the Donor or any of its duly authorized representatives or agents to carry out such measures.</w:t>
      </w:r>
    </w:p>
    <w:p w14:paraId="4248170E" w14:textId="77777777" w:rsidR="00130B34" w:rsidRDefault="00130B34" w:rsidP="00130B34">
      <w:pPr>
        <w:ind w:left="284"/>
        <w:rPr>
          <w:sz w:val="17"/>
        </w:rPr>
      </w:pPr>
    </w:p>
    <w:p w14:paraId="62A95916" w14:textId="689B2A1C" w:rsidR="00130B34" w:rsidRPr="00BA42C0" w:rsidRDefault="0032237E" w:rsidP="00130B34">
      <w:pPr>
        <w:ind w:left="284"/>
        <w:rPr>
          <w:sz w:val="17"/>
        </w:rPr>
      </w:pPr>
      <w:r>
        <w:rPr>
          <w:sz w:val="17"/>
        </w:rPr>
        <w:lastRenderedPageBreak/>
        <w:t>6</w:t>
      </w:r>
      <w:r w:rsidR="00130B34" w:rsidRPr="00BA42C0">
        <w:rPr>
          <w:sz w:val="17"/>
        </w:rPr>
        <w:t xml:space="preserve">. Any information or documentation provided in accordance with these provisions will be treated by the Donor with utmost discretion in order to ensure, </w:t>
      </w:r>
      <w:r w:rsidR="00130B34" w:rsidRPr="000A4737">
        <w:rPr>
          <w:i/>
          <w:iCs/>
          <w:sz w:val="17"/>
        </w:rPr>
        <w:t>inter alia</w:t>
      </w:r>
      <w:r w:rsidR="00130B34" w:rsidRPr="00BA42C0">
        <w:rPr>
          <w:sz w:val="17"/>
        </w:rPr>
        <w:t xml:space="preserve">, the probity of any investigation, protect sensitive information, ensure the safety and security of persons and respect the due process rights of all involved. The Donor will presume information/documentation to be confidential, deliberative, and investigatory and will ensure that information/documentation provided to the Donor will be available solely to those who strictly require access to such information/documentation. Any disclosure of such information/documentation beyond such personnel will require notification and consultation with the Recipient. The Donor will obtain the express written authorization of the Recipient before disclosing any such information/documentation in a judicial proceeding or to the public, unless disclosure is otherwise required </w:t>
      </w:r>
      <w:r w:rsidR="00130B34" w:rsidRPr="003A2960">
        <w:rPr>
          <w:sz w:val="17"/>
        </w:rPr>
        <w:t xml:space="preserve">by law </w:t>
      </w:r>
      <w:r w:rsidR="00EF0A94">
        <w:rPr>
          <w:sz w:val="17"/>
        </w:rPr>
        <w:t xml:space="preserve">applicable </w:t>
      </w:r>
      <w:r w:rsidR="00130B34" w:rsidRPr="00BA42C0">
        <w:rPr>
          <w:sz w:val="17"/>
        </w:rPr>
        <w:t>to the Donor and is not subject to the Recipient’s privileges and immunities under international and/or national law (such as information/documentation constituting UN archives).</w:t>
      </w:r>
    </w:p>
    <w:p w14:paraId="15CB9B81" w14:textId="77777777" w:rsidR="00130B34" w:rsidRDefault="00130B34" w:rsidP="00130B34"/>
    <w:p w14:paraId="4A1E9771" w14:textId="25DC8E94" w:rsidR="00130B34" w:rsidRPr="00BA42C0" w:rsidRDefault="0032237E" w:rsidP="000A4737">
      <w:pPr>
        <w:ind w:left="284"/>
      </w:pPr>
      <w:r>
        <w:rPr>
          <w:sz w:val="17"/>
        </w:rPr>
        <w:t>7</w:t>
      </w:r>
      <w:r w:rsidR="00130B34" w:rsidRPr="00BA42C0">
        <w:rPr>
          <w:sz w:val="17"/>
        </w:rPr>
        <w:t xml:space="preserve">. Unless the </w:t>
      </w:r>
      <w:r w:rsidR="00006BED">
        <w:rPr>
          <w:sz w:val="17"/>
        </w:rPr>
        <w:t xml:space="preserve">regulations, </w:t>
      </w:r>
      <w:r w:rsidR="00130B34" w:rsidRPr="00BA42C0">
        <w:rPr>
          <w:sz w:val="17"/>
        </w:rPr>
        <w:t>rules</w:t>
      </w:r>
      <w:r w:rsidR="00006BED">
        <w:rPr>
          <w:sz w:val="17"/>
        </w:rPr>
        <w:t xml:space="preserve">, </w:t>
      </w:r>
      <w:r w:rsidR="00272CDC">
        <w:rPr>
          <w:sz w:val="17"/>
        </w:rPr>
        <w:t>policies,</w:t>
      </w:r>
      <w:r w:rsidR="00006BED">
        <w:rPr>
          <w:sz w:val="17"/>
        </w:rPr>
        <w:t xml:space="preserve"> and procedures</w:t>
      </w:r>
      <w:r w:rsidR="00130B34" w:rsidRPr="00BA42C0">
        <w:rPr>
          <w:sz w:val="17"/>
        </w:rPr>
        <w:t xml:space="preserve"> applicable to the Recipient are amen</w:t>
      </w:r>
      <w:r w:rsidR="00130B34" w:rsidRPr="002E42EC">
        <w:rPr>
          <w:sz w:val="17"/>
        </w:rPr>
        <w:t xml:space="preserve">ded at an earlier stage, </w:t>
      </w:r>
      <w:r w:rsidR="002E42EC" w:rsidRPr="002E42EC">
        <w:rPr>
          <w:sz w:val="17"/>
        </w:rPr>
        <w:t xml:space="preserve">and/or there are other substantive changes to any of the </w:t>
      </w:r>
      <w:r w:rsidR="00F06BA9">
        <w:rPr>
          <w:sz w:val="17"/>
        </w:rPr>
        <w:t xml:space="preserve">referenced </w:t>
      </w:r>
      <w:r w:rsidR="002E42EC" w:rsidRPr="002E42EC">
        <w:rPr>
          <w:sz w:val="17"/>
        </w:rPr>
        <w:t>policies, process</w:t>
      </w:r>
      <w:r w:rsidR="00F06BA9">
        <w:rPr>
          <w:sz w:val="17"/>
        </w:rPr>
        <w:t>es</w:t>
      </w:r>
      <w:r w:rsidR="002E42EC" w:rsidRPr="002E42EC">
        <w:rPr>
          <w:sz w:val="17"/>
        </w:rPr>
        <w:t xml:space="preserve"> or mechanisms</w:t>
      </w:r>
      <w:r w:rsidR="00F06BA9">
        <w:rPr>
          <w:sz w:val="17"/>
        </w:rPr>
        <w:t>,</w:t>
      </w:r>
      <w:r w:rsidR="00130B34" w:rsidRPr="002E42EC">
        <w:rPr>
          <w:sz w:val="17"/>
        </w:rPr>
        <w:t xml:space="preserve"> </w:t>
      </w:r>
      <w:r w:rsidR="00130B34" w:rsidRPr="002E42EC">
        <w:rPr>
          <w:iCs/>
          <w:color w:val="000000"/>
          <w:sz w:val="17"/>
          <w:szCs w:val="17"/>
          <w:shd w:val="clear" w:color="auto" w:fill="FFFFFF"/>
        </w:rPr>
        <w:t>the above provisions are subject to possible review two years after the date of the Donors’ mutual decision on their text with the Recipient. Any changes to</w:t>
      </w:r>
      <w:r w:rsidR="00130B34" w:rsidRPr="00FF743D">
        <w:rPr>
          <w:iCs/>
          <w:color w:val="000000"/>
          <w:sz w:val="17"/>
          <w:szCs w:val="17"/>
          <w:shd w:val="clear" w:color="auto" w:fill="FFFFFF"/>
        </w:rPr>
        <w:t xml:space="preserve"> the above provisions that may be mutually decided following such a review will take effect at least four years</w:t>
      </w:r>
      <w:r w:rsidR="00130B34" w:rsidRPr="00DD2D07">
        <w:rPr>
          <w:iCs/>
          <w:color w:val="000000"/>
          <w:sz w:val="17"/>
          <w:szCs w:val="17"/>
          <w:shd w:val="clear" w:color="auto" w:fill="FFFFFF"/>
        </w:rPr>
        <w:t xml:space="preserve"> after the date of the Donors’ mutual decision on the present text with the Recipient, until which time the above provisions will continue to apply.</w:t>
      </w:r>
      <w:r w:rsidR="00130B34">
        <w:rPr>
          <w:sz w:val="17"/>
        </w:rPr>
        <w:t xml:space="preserve"> </w:t>
      </w:r>
    </w:p>
    <w:p w14:paraId="12A4A22B" w14:textId="77777777" w:rsidR="00895661" w:rsidRPr="00B902C5" w:rsidRDefault="00895661">
      <w:pPr>
        <w:rPr>
          <w:sz w:val="18"/>
          <w:szCs w:val="18"/>
        </w:rPr>
      </w:pPr>
    </w:p>
    <w:sectPr w:rsidR="00895661" w:rsidRPr="00B902C5" w:rsidSect="000A4737">
      <w:headerReference w:type="default" r:id="rId8"/>
      <w:pgSz w:w="11906" w:h="16838"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38D9" w14:textId="77777777" w:rsidR="007874F2" w:rsidRDefault="007874F2" w:rsidP="00F57A43">
      <w:r>
        <w:separator/>
      </w:r>
    </w:p>
  </w:endnote>
  <w:endnote w:type="continuationSeparator" w:id="0">
    <w:p w14:paraId="4F42CAD9" w14:textId="77777777" w:rsidR="007874F2" w:rsidRDefault="007874F2" w:rsidP="00F5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980BD" w14:textId="77777777" w:rsidR="007874F2" w:rsidRDefault="007874F2" w:rsidP="00F57A43">
      <w:r>
        <w:separator/>
      </w:r>
    </w:p>
  </w:footnote>
  <w:footnote w:type="continuationSeparator" w:id="0">
    <w:p w14:paraId="196B1162" w14:textId="77777777" w:rsidR="007874F2" w:rsidRDefault="007874F2" w:rsidP="00F57A43">
      <w:r>
        <w:continuationSeparator/>
      </w:r>
    </w:p>
  </w:footnote>
  <w:footnote w:id="1">
    <w:p w14:paraId="59450813" w14:textId="6348E8A4" w:rsidR="00585C49" w:rsidRPr="00585C49" w:rsidRDefault="00585C49" w:rsidP="00087E05">
      <w:pPr>
        <w:pStyle w:val="BodyText"/>
        <w:spacing w:before="42"/>
        <w:jc w:val="both"/>
        <w:rPr>
          <w:sz w:val="16"/>
        </w:rPr>
      </w:pPr>
      <w:r>
        <w:rPr>
          <w:rStyle w:val="FootnoteReference"/>
        </w:rPr>
        <w:footnoteRef/>
      </w:r>
      <w:r>
        <w:t xml:space="preserve"> </w:t>
      </w:r>
      <w:r w:rsidRPr="000A7912">
        <w:rPr>
          <w:sz w:val="16"/>
        </w:rPr>
        <w:t>See</w:t>
      </w:r>
      <w:r w:rsidRPr="000A7912">
        <w:rPr>
          <w:b/>
          <w:bCs/>
          <w:sz w:val="16"/>
        </w:rPr>
        <w:t xml:space="preserve"> </w:t>
      </w:r>
      <w:r w:rsidRPr="000A7912">
        <w:rPr>
          <w:sz w:val="16"/>
        </w:rPr>
        <w:t xml:space="preserve">UNSG Bulletin ST/SGB/2003/13 for the definition of sexual exploitation and abuse. </w:t>
      </w:r>
    </w:p>
  </w:footnote>
  <w:footnote w:id="2">
    <w:p w14:paraId="23D6432F" w14:textId="3DED3587" w:rsidR="007D723E" w:rsidRDefault="007D723E">
      <w:pPr>
        <w:pStyle w:val="FootnoteText"/>
      </w:pPr>
      <w:r>
        <w:rPr>
          <w:rStyle w:val="FootnoteReference"/>
        </w:rPr>
        <w:footnoteRef/>
      </w:r>
      <w:r>
        <w:t xml:space="preserve"> </w:t>
      </w:r>
      <w:r w:rsidR="00336D98" w:rsidRPr="000A7912">
        <w:rPr>
          <w:sz w:val="16"/>
        </w:rPr>
        <w:t>A victim/survivor centered-approach is one for which the victim/survivor’s dignity, experiences, considerations,</w:t>
      </w:r>
      <w:r w:rsidR="00336D98" w:rsidRPr="000A7912">
        <w:rPr>
          <w:spacing w:val="-7"/>
          <w:sz w:val="16"/>
        </w:rPr>
        <w:t xml:space="preserve"> </w:t>
      </w:r>
      <w:r w:rsidR="00336D98" w:rsidRPr="000A7912">
        <w:rPr>
          <w:sz w:val="16"/>
        </w:rPr>
        <w:t>needs,</w:t>
      </w:r>
      <w:r w:rsidR="00336D98" w:rsidRPr="000A7912">
        <w:rPr>
          <w:spacing w:val="-8"/>
          <w:sz w:val="16"/>
        </w:rPr>
        <w:t xml:space="preserve"> </w:t>
      </w:r>
      <w:r w:rsidR="00336D98" w:rsidRPr="000A7912">
        <w:rPr>
          <w:sz w:val="16"/>
        </w:rPr>
        <w:t>and</w:t>
      </w:r>
      <w:r w:rsidR="00336D98" w:rsidRPr="000A7912">
        <w:rPr>
          <w:spacing w:val="-7"/>
          <w:sz w:val="16"/>
        </w:rPr>
        <w:t xml:space="preserve"> </w:t>
      </w:r>
      <w:r w:rsidR="00336D98" w:rsidRPr="000A7912">
        <w:rPr>
          <w:sz w:val="16"/>
        </w:rPr>
        <w:t>resiliencies</w:t>
      </w:r>
      <w:r w:rsidR="00336D98" w:rsidRPr="000A7912">
        <w:rPr>
          <w:spacing w:val="-8"/>
          <w:sz w:val="16"/>
        </w:rPr>
        <w:t xml:space="preserve"> </w:t>
      </w:r>
      <w:r w:rsidR="00336D98" w:rsidRPr="000A7912">
        <w:rPr>
          <w:sz w:val="16"/>
        </w:rPr>
        <w:t>are</w:t>
      </w:r>
      <w:r w:rsidR="00336D98" w:rsidRPr="000A7912">
        <w:rPr>
          <w:spacing w:val="-8"/>
          <w:sz w:val="16"/>
        </w:rPr>
        <w:t xml:space="preserve"> </w:t>
      </w:r>
      <w:r w:rsidR="00336D98" w:rsidRPr="000A7912">
        <w:rPr>
          <w:sz w:val="16"/>
        </w:rPr>
        <w:t>placed</w:t>
      </w:r>
      <w:r w:rsidR="00336D98" w:rsidRPr="000A7912">
        <w:rPr>
          <w:spacing w:val="-8"/>
          <w:sz w:val="16"/>
        </w:rPr>
        <w:t xml:space="preserve"> </w:t>
      </w:r>
      <w:r w:rsidR="00336D98" w:rsidRPr="000A7912">
        <w:rPr>
          <w:sz w:val="16"/>
        </w:rPr>
        <w:t>at</w:t>
      </w:r>
      <w:r w:rsidR="00336D98" w:rsidRPr="000A7912">
        <w:rPr>
          <w:spacing w:val="-7"/>
          <w:sz w:val="16"/>
        </w:rPr>
        <w:t xml:space="preserve"> </w:t>
      </w:r>
      <w:r w:rsidR="00336D98" w:rsidRPr="000A7912">
        <w:rPr>
          <w:sz w:val="16"/>
        </w:rPr>
        <w:t>the</w:t>
      </w:r>
      <w:r w:rsidR="00336D98" w:rsidRPr="000A7912">
        <w:rPr>
          <w:spacing w:val="-8"/>
          <w:sz w:val="16"/>
        </w:rPr>
        <w:t xml:space="preserve"> </w:t>
      </w:r>
      <w:r w:rsidR="00336D98" w:rsidRPr="000A7912">
        <w:rPr>
          <w:sz w:val="16"/>
        </w:rPr>
        <w:t>center</w:t>
      </w:r>
      <w:r w:rsidR="00336D98" w:rsidRPr="000A7912">
        <w:rPr>
          <w:spacing w:val="-6"/>
          <w:sz w:val="16"/>
        </w:rPr>
        <w:t xml:space="preserve"> </w:t>
      </w:r>
      <w:r w:rsidR="00336D98" w:rsidRPr="000A7912">
        <w:rPr>
          <w:sz w:val="16"/>
        </w:rPr>
        <w:t>of</w:t>
      </w:r>
      <w:r w:rsidR="00336D98" w:rsidRPr="000A7912">
        <w:rPr>
          <w:spacing w:val="-8"/>
          <w:sz w:val="16"/>
        </w:rPr>
        <w:t xml:space="preserve"> </w:t>
      </w:r>
      <w:r w:rsidR="00336D98" w:rsidRPr="000A7912">
        <w:rPr>
          <w:sz w:val="16"/>
        </w:rPr>
        <w:t>the</w:t>
      </w:r>
      <w:r w:rsidR="00336D98" w:rsidRPr="000A7912">
        <w:rPr>
          <w:spacing w:val="-8"/>
          <w:sz w:val="16"/>
        </w:rPr>
        <w:t xml:space="preserve"> </w:t>
      </w:r>
      <w:r w:rsidR="00336D98" w:rsidRPr="000A7912">
        <w:rPr>
          <w:sz w:val="16"/>
        </w:rPr>
        <w:t>process,</w:t>
      </w:r>
      <w:r w:rsidR="00336D98" w:rsidRPr="000A7912">
        <w:rPr>
          <w:spacing w:val="-7"/>
          <w:sz w:val="16"/>
        </w:rPr>
        <w:t xml:space="preserve"> </w:t>
      </w:r>
      <w:r w:rsidR="00336D98" w:rsidRPr="000A7912">
        <w:rPr>
          <w:sz w:val="16"/>
        </w:rPr>
        <w:t>from</w:t>
      </w:r>
      <w:r w:rsidR="00336D98" w:rsidRPr="000A7912">
        <w:rPr>
          <w:spacing w:val="-7"/>
          <w:sz w:val="16"/>
        </w:rPr>
        <w:t xml:space="preserve"> </w:t>
      </w:r>
      <w:r w:rsidR="00336D98" w:rsidRPr="000A7912">
        <w:rPr>
          <w:sz w:val="16"/>
        </w:rPr>
        <w:t>the</w:t>
      </w:r>
      <w:r w:rsidR="00336D98" w:rsidRPr="000A7912">
        <w:rPr>
          <w:spacing w:val="-7"/>
          <w:sz w:val="16"/>
        </w:rPr>
        <w:t xml:space="preserve"> </w:t>
      </w:r>
      <w:r w:rsidR="00336D98" w:rsidRPr="000A7912">
        <w:rPr>
          <w:sz w:val="16"/>
        </w:rPr>
        <w:t>initial program</w:t>
      </w:r>
      <w:r w:rsidR="00336D98" w:rsidRPr="000A7912">
        <w:rPr>
          <w:spacing w:val="-8"/>
          <w:sz w:val="16"/>
        </w:rPr>
        <w:t xml:space="preserve"> </w:t>
      </w:r>
      <w:r w:rsidR="00336D98" w:rsidRPr="000A7912">
        <w:rPr>
          <w:sz w:val="16"/>
        </w:rPr>
        <w:t>design</w:t>
      </w:r>
      <w:r w:rsidR="00336D98" w:rsidRPr="000A7912">
        <w:rPr>
          <w:spacing w:val="-8"/>
          <w:sz w:val="16"/>
        </w:rPr>
        <w:t xml:space="preserve"> </w:t>
      </w:r>
      <w:r w:rsidR="00336D98" w:rsidRPr="000A7912">
        <w:rPr>
          <w:sz w:val="16"/>
        </w:rPr>
        <w:t>to</w:t>
      </w:r>
      <w:r w:rsidR="00336D98" w:rsidRPr="000A7912">
        <w:rPr>
          <w:spacing w:val="-8"/>
          <w:sz w:val="16"/>
        </w:rPr>
        <w:t xml:space="preserve"> </w:t>
      </w:r>
      <w:r w:rsidR="00336D98" w:rsidRPr="000A7912">
        <w:rPr>
          <w:sz w:val="16"/>
        </w:rPr>
        <w:t>investigating</w:t>
      </w:r>
      <w:r w:rsidR="00336D98" w:rsidRPr="000A7912">
        <w:rPr>
          <w:spacing w:val="-8"/>
          <w:sz w:val="16"/>
        </w:rPr>
        <w:t xml:space="preserve"> </w:t>
      </w:r>
      <w:r w:rsidR="00336D98" w:rsidRPr="000A7912">
        <w:rPr>
          <w:sz w:val="16"/>
        </w:rPr>
        <w:t>and</w:t>
      </w:r>
      <w:r w:rsidR="00336D98" w:rsidRPr="000A7912">
        <w:rPr>
          <w:spacing w:val="-8"/>
          <w:sz w:val="16"/>
        </w:rPr>
        <w:t xml:space="preserve"> </w:t>
      </w:r>
      <w:r w:rsidR="00336D98" w:rsidRPr="000A7912">
        <w:rPr>
          <w:sz w:val="16"/>
        </w:rPr>
        <w:t>responding</w:t>
      </w:r>
      <w:r w:rsidR="00336D98" w:rsidRPr="000A7912">
        <w:rPr>
          <w:spacing w:val="-8"/>
          <w:sz w:val="16"/>
        </w:rPr>
        <w:t xml:space="preserve"> </w:t>
      </w:r>
      <w:r w:rsidR="00336D98" w:rsidRPr="000A7912">
        <w:rPr>
          <w:sz w:val="16"/>
        </w:rPr>
        <w:t>to</w:t>
      </w:r>
      <w:r w:rsidR="00336D98" w:rsidRPr="000A7912">
        <w:rPr>
          <w:spacing w:val="-8"/>
          <w:sz w:val="16"/>
        </w:rPr>
        <w:t xml:space="preserve"> </w:t>
      </w:r>
      <w:r w:rsidR="00336D98" w:rsidRPr="000A7912">
        <w:rPr>
          <w:sz w:val="16"/>
        </w:rPr>
        <w:t>potential</w:t>
      </w:r>
      <w:r w:rsidR="00336D98" w:rsidRPr="000A7912">
        <w:rPr>
          <w:spacing w:val="-9"/>
          <w:sz w:val="16"/>
        </w:rPr>
        <w:t xml:space="preserve"> </w:t>
      </w:r>
      <w:r w:rsidR="00336D98" w:rsidRPr="000A7912">
        <w:rPr>
          <w:sz w:val="16"/>
        </w:rPr>
        <w:t>incidents.</w:t>
      </w:r>
      <w:r w:rsidR="00336D98" w:rsidRPr="000A7912">
        <w:rPr>
          <w:spacing w:val="-8"/>
          <w:sz w:val="16"/>
        </w:rPr>
        <w:t xml:space="preserve"> </w:t>
      </w:r>
      <w:r w:rsidR="00336D98" w:rsidRPr="000A7912">
        <w:rPr>
          <w:sz w:val="16"/>
        </w:rPr>
        <w:t>Consistent</w:t>
      </w:r>
      <w:r w:rsidR="00336D98" w:rsidRPr="000A7912">
        <w:rPr>
          <w:spacing w:val="-8"/>
          <w:sz w:val="16"/>
        </w:rPr>
        <w:t xml:space="preserve"> </w:t>
      </w:r>
      <w:r w:rsidR="00336D98" w:rsidRPr="000A7912">
        <w:rPr>
          <w:sz w:val="16"/>
        </w:rPr>
        <w:t>with</w:t>
      </w:r>
      <w:r w:rsidR="00336D98" w:rsidRPr="000A7912">
        <w:rPr>
          <w:spacing w:val="-8"/>
          <w:sz w:val="16"/>
        </w:rPr>
        <w:t xml:space="preserve"> </w:t>
      </w:r>
      <w:r w:rsidR="00336D98" w:rsidRPr="000A7912">
        <w:rPr>
          <w:sz w:val="16"/>
        </w:rPr>
        <w:t>the</w:t>
      </w:r>
      <w:r w:rsidR="00336D98" w:rsidRPr="000A7912">
        <w:rPr>
          <w:spacing w:val="-8"/>
          <w:sz w:val="16"/>
        </w:rPr>
        <w:t xml:space="preserve"> </w:t>
      </w:r>
      <w:r w:rsidR="00336D98" w:rsidRPr="000A7912">
        <w:rPr>
          <w:sz w:val="16"/>
          <w:u w:val="single"/>
        </w:rPr>
        <w:t>UN Protocol on Allegations of SEA Involving Implementing Partners</w:t>
      </w:r>
      <w:r w:rsidR="00336D98" w:rsidRPr="000A7912">
        <w:rPr>
          <w:sz w:val="16"/>
        </w:rPr>
        <w:t>, the victim/survivor should be informed,</w:t>
      </w:r>
      <w:r w:rsidR="00336D98" w:rsidRPr="000A7912">
        <w:rPr>
          <w:spacing w:val="-10"/>
          <w:sz w:val="16"/>
        </w:rPr>
        <w:t xml:space="preserve"> consulted during </w:t>
      </w:r>
      <w:r w:rsidR="00336D98" w:rsidRPr="000A7912">
        <w:rPr>
          <w:sz w:val="16"/>
        </w:rPr>
        <w:t>the</w:t>
      </w:r>
      <w:r w:rsidR="00336D98" w:rsidRPr="000A7912">
        <w:rPr>
          <w:spacing w:val="-9"/>
          <w:sz w:val="16"/>
        </w:rPr>
        <w:t xml:space="preserve"> </w:t>
      </w:r>
      <w:r w:rsidR="00336D98" w:rsidRPr="000A7912">
        <w:rPr>
          <w:sz w:val="16"/>
        </w:rPr>
        <w:t>decision-making</w:t>
      </w:r>
      <w:r w:rsidR="00336D98" w:rsidRPr="000A7912">
        <w:rPr>
          <w:spacing w:val="-8"/>
          <w:sz w:val="16"/>
        </w:rPr>
        <w:t xml:space="preserve"> </w:t>
      </w:r>
      <w:r w:rsidR="00336D98" w:rsidRPr="000A7912">
        <w:rPr>
          <w:sz w:val="16"/>
        </w:rPr>
        <w:t>process,</w:t>
      </w:r>
      <w:r w:rsidR="00336D98" w:rsidRPr="000A7912">
        <w:rPr>
          <w:spacing w:val="-9"/>
          <w:sz w:val="16"/>
        </w:rPr>
        <w:t xml:space="preserve"> </w:t>
      </w:r>
      <w:r w:rsidR="00336D98" w:rsidRPr="000A7912">
        <w:rPr>
          <w:sz w:val="16"/>
        </w:rPr>
        <w:t>and</w:t>
      </w:r>
      <w:r w:rsidR="00336D98" w:rsidRPr="000A7912">
        <w:rPr>
          <w:spacing w:val="-9"/>
          <w:sz w:val="16"/>
        </w:rPr>
        <w:t xml:space="preserve"> </w:t>
      </w:r>
      <w:r w:rsidR="00336D98" w:rsidRPr="000A7912">
        <w:rPr>
          <w:sz w:val="16"/>
        </w:rPr>
        <w:t>provide</w:t>
      </w:r>
      <w:r w:rsidR="00336D98" w:rsidRPr="000A7912">
        <w:rPr>
          <w:spacing w:val="-9"/>
          <w:sz w:val="16"/>
        </w:rPr>
        <w:t xml:space="preserve"> </w:t>
      </w:r>
      <w:r w:rsidR="00336D98" w:rsidRPr="000A7912">
        <w:rPr>
          <w:sz w:val="16"/>
        </w:rPr>
        <w:t>consent</w:t>
      </w:r>
      <w:r w:rsidR="00336D98" w:rsidRPr="000A7912">
        <w:rPr>
          <w:spacing w:val="-9"/>
          <w:sz w:val="16"/>
        </w:rPr>
        <w:t xml:space="preserve"> </w:t>
      </w:r>
      <w:r w:rsidR="00336D98" w:rsidRPr="000A7912">
        <w:rPr>
          <w:sz w:val="16"/>
        </w:rPr>
        <w:t>on</w:t>
      </w:r>
      <w:r w:rsidR="00336D98" w:rsidRPr="000A7912">
        <w:rPr>
          <w:spacing w:val="-9"/>
          <w:sz w:val="16"/>
        </w:rPr>
        <w:t xml:space="preserve"> </w:t>
      </w:r>
      <w:r w:rsidR="00336D98" w:rsidRPr="000A7912">
        <w:rPr>
          <w:sz w:val="16"/>
        </w:rPr>
        <w:t>the</w:t>
      </w:r>
      <w:r w:rsidR="00336D98" w:rsidRPr="000A7912">
        <w:rPr>
          <w:spacing w:val="-9"/>
          <w:sz w:val="16"/>
        </w:rPr>
        <w:t xml:space="preserve"> </w:t>
      </w:r>
      <w:r w:rsidR="00336D98" w:rsidRPr="000A7912">
        <w:rPr>
          <w:sz w:val="16"/>
        </w:rPr>
        <w:t>possible</w:t>
      </w:r>
      <w:r w:rsidR="00336D98" w:rsidRPr="000A7912">
        <w:rPr>
          <w:spacing w:val="-8"/>
          <w:sz w:val="16"/>
        </w:rPr>
        <w:t xml:space="preserve"> </w:t>
      </w:r>
      <w:r w:rsidR="00336D98" w:rsidRPr="000A7912">
        <w:rPr>
          <w:sz w:val="16"/>
        </w:rPr>
        <w:t>use and disclosure of their information. Those interacting with the victim/survivor and/or handling information regarding the allegation will maintain confidentiality, ensure safety of the victim/survivor,</w:t>
      </w:r>
      <w:r w:rsidR="00336D98" w:rsidRPr="000A7912">
        <w:rPr>
          <w:spacing w:val="-10"/>
          <w:sz w:val="16"/>
        </w:rPr>
        <w:t xml:space="preserve"> </w:t>
      </w:r>
      <w:r w:rsidR="00336D98" w:rsidRPr="000A7912">
        <w:rPr>
          <w:sz w:val="16"/>
        </w:rPr>
        <w:t>and</w:t>
      </w:r>
      <w:r w:rsidR="00336D98" w:rsidRPr="000A7912">
        <w:rPr>
          <w:spacing w:val="-12"/>
          <w:sz w:val="16"/>
        </w:rPr>
        <w:t xml:space="preserve"> </w:t>
      </w:r>
      <w:r w:rsidR="00336D98" w:rsidRPr="000A7912">
        <w:rPr>
          <w:sz w:val="16"/>
        </w:rPr>
        <w:t>apply</w:t>
      </w:r>
      <w:r w:rsidR="00336D98" w:rsidRPr="000A7912">
        <w:rPr>
          <w:spacing w:val="-11"/>
          <w:sz w:val="16"/>
        </w:rPr>
        <w:t xml:space="preserve"> victim/</w:t>
      </w:r>
      <w:r w:rsidR="00336D98" w:rsidRPr="000A7912">
        <w:rPr>
          <w:sz w:val="16"/>
        </w:rPr>
        <w:t>survivor-centered</w:t>
      </w:r>
      <w:r w:rsidR="00336D98" w:rsidRPr="000A7912">
        <w:rPr>
          <w:spacing w:val="-12"/>
          <w:sz w:val="16"/>
        </w:rPr>
        <w:t xml:space="preserve"> </w:t>
      </w:r>
      <w:r w:rsidR="00336D98" w:rsidRPr="000A7912">
        <w:rPr>
          <w:sz w:val="16"/>
        </w:rPr>
        <w:t>principles</w:t>
      </w:r>
      <w:r w:rsidR="00336D98" w:rsidRPr="000A7912">
        <w:rPr>
          <w:spacing w:val="-10"/>
          <w:sz w:val="16"/>
        </w:rPr>
        <w:t xml:space="preserve"> </w:t>
      </w:r>
      <w:r w:rsidR="00336D98" w:rsidRPr="000A7912">
        <w:rPr>
          <w:sz w:val="16"/>
        </w:rPr>
        <w:t>which</w:t>
      </w:r>
      <w:r w:rsidR="00336D98" w:rsidRPr="000A7912">
        <w:rPr>
          <w:spacing w:val="-11"/>
          <w:sz w:val="16"/>
        </w:rPr>
        <w:t xml:space="preserve"> </w:t>
      </w:r>
      <w:r w:rsidR="00336D98" w:rsidRPr="000A7912">
        <w:rPr>
          <w:sz w:val="16"/>
        </w:rPr>
        <w:t>are</w:t>
      </w:r>
      <w:r w:rsidR="00336D98" w:rsidRPr="000A7912">
        <w:rPr>
          <w:spacing w:val="-11"/>
          <w:sz w:val="16"/>
        </w:rPr>
        <w:t xml:space="preserve"> </w:t>
      </w:r>
      <w:r w:rsidR="00336D98" w:rsidRPr="000A7912">
        <w:rPr>
          <w:sz w:val="16"/>
        </w:rPr>
        <w:t>safety,</w:t>
      </w:r>
      <w:r w:rsidR="00336D98" w:rsidRPr="000A7912">
        <w:rPr>
          <w:spacing w:val="-10"/>
          <w:sz w:val="16"/>
        </w:rPr>
        <w:t xml:space="preserve"> </w:t>
      </w:r>
      <w:r w:rsidR="00336D98" w:rsidRPr="000A7912">
        <w:rPr>
          <w:sz w:val="16"/>
        </w:rPr>
        <w:t>confidentiality,</w:t>
      </w:r>
      <w:r w:rsidR="00336D98" w:rsidRPr="000A7912">
        <w:rPr>
          <w:spacing w:val="-12"/>
          <w:sz w:val="16"/>
        </w:rPr>
        <w:t xml:space="preserve"> </w:t>
      </w:r>
      <w:r w:rsidR="00336D98" w:rsidRPr="000A7912">
        <w:rPr>
          <w:sz w:val="16"/>
        </w:rPr>
        <w:t>respect,</w:t>
      </w:r>
      <w:r w:rsidR="00336D98" w:rsidRPr="000A7912">
        <w:rPr>
          <w:spacing w:val="-10"/>
          <w:sz w:val="16"/>
        </w:rPr>
        <w:t xml:space="preserve"> </w:t>
      </w:r>
      <w:r w:rsidR="00336D98" w:rsidRPr="000A7912">
        <w:rPr>
          <w:sz w:val="16"/>
        </w:rPr>
        <w:t>and non-discrimination.</w:t>
      </w:r>
      <w:r w:rsidR="00336D98" w:rsidRPr="000A7912">
        <w:rPr>
          <w:spacing w:val="-17"/>
          <w:sz w:val="16"/>
        </w:rPr>
        <w:t xml:space="preserve"> </w:t>
      </w:r>
      <w:r w:rsidR="00336D98" w:rsidRPr="000A7912">
        <w:rPr>
          <w:sz w:val="16"/>
        </w:rPr>
        <w:t>When</w:t>
      </w:r>
      <w:r w:rsidR="00336D98" w:rsidRPr="000A7912">
        <w:rPr>
          <w:spacing w:val="-15"/>
          <w:sz w:val="16"/>
        </w:rPr>
        <w:t xml:space="preserve"> </w:t>
      </w:r>
      <w:r w:rsidR="00336D98" w:rsidRPr="000A7912">
        <w:rPr>
          <w:sz w:val="16"/>
        </w:rPr>
        <w:t>the</w:t>
      </w:r>
      <w:r w:rsidR="00336D98" w:rsidRPr="000A7912">
        <w:rPr>
          <w:spacing w:val="-15"/>
          <w:sz w:val="16"/>
        </w:rPr>
        <w:t xml:space="preserve"> victim/</w:t>
      </w:r>
      <w:r w:rsidR="00336D98" w:rsidRPr="000A7912">
        <w:rPr>
          <w:sz w:val="16"/>
        </w:rPr>
        <w:t>survivor</w:t>
      </w:r>
      <w:r w:rsidR="00336D98" w:rsidRPr="000A7912">
        <w:rPr>
          <w:spacing w:val="-15"/>
          <w:sz w:val="16"/>
        </w:rPr>
        <w:t xml:space="preserve"> </w:t>
      </w:r>
      <w:r w:rsidR="00336D98" w:rsidRPr="000A7912">
        <w:rPr>
          <w:sz w:val="16"/>
        </w:rPr>
        <w:t>is</w:t>
      </w:r>
      <w:r w:rsidR="00336D98" w:rsidRPr="000A7912">
        <w:rPr>
          <w:spacing w:val="-17"/>
          <w:sz w:val="16"/>
        </w:rPr>
        <w:t xml:space="preserve"> </w:t>
      </w:r>
      <w:r w:rsidR="00336D98" w:rsidRPr="000A7912">
        <w:rPr>
          <w:sz w:val="16"/>
        </w:rPr>
        <w:t>a</w:t>
      </w:r>
      <w:r w:rsidR="00336D98" w:rsidRPr="000A7912">
        <w:rPr>
          <w:spacing w:val="-15"/>
          <w:sz w:val="16"/>
        </w:rPr>
        <w:t xml:space="preserve"> </w:t>
      </w:r>
      <w:r w:rsidR="00336D98" w:rsidRPr="000A7912">
        <w:rPr>
          <w:sz w:val="16"/>
        </w:rPr>
        <w:t>child,</w:t>
      </w:r>
      <w:r w:rsidR="00336D98" w:rsidRPr="000A7912">
        <w:rPr>
          <w:spacing w:val="-18"/>
          <w:sz w:val="16"/>
        </w:rPr>
        <w:t xml:space="preserve"> </w:t>
      </w:r>
      <w:r w:rsidR="00336D98" w:rsidRPr="000A7912">
        <w:rPr>
          <w:sz w:val="16"/>
        </w:rPr>
        <w:t>the</w:t>
      </w:r>
      <w:r w:rsidR="00336D98" w:rsidRPr="000A7912">
        <w:rPr>
          <w:spacing w:val="-16"/>
          <w:sz w:val="16"/>
        </w:rPr>
        <w:t xml:space="preserve"> </w:t>
      </w:r>
      <w:r w:rsidR="00336D98" w:rsidRPr="000A7912">
        <w:rPr>
          <w:sz w:val="16"/>
        </w:rPr>
        <w:t>approach</w:t>
      </w:r>
      <w:r w:rsidR="00336D98" w:rsidRPr="000A7912">
        <w:rPr>
          <w:spacing w:val="-15"/>
          <w:sz w:val="16"/>
        </w:rPr>
        <w:t xml:space="preserve"> </w:t>
      </w:r>
      <w:r w:rsidR="00336D98" w:rsidRPr="000A7912">
        <w:rPr>
          <w:sz w:val="16"/>
        </w:rPr>
        <w:t>will</w:t>
      </w:r>
      <w:r w:rsidR="00336D98" w:rsidRPr="000A7912">
        <w:rPr>
          <w:spacing w:val="-16"/>
          <w:sz w:val="16"/>
        </w:rPr>
        <w:t xml:space="preserve"> </w:t>
      </w:r>
      <w:r w:rsidR="00336D98" w:rsidRPr="000A7912">
        <w:rPr>
          <w:sz w:val="16"/>
        </w:rPr>
        <w:t>consider</w:t>
      </w:r>
      <w:r w:rsidR="00336D98" w:rsidRPr="000A7912">
        <w:rPr>
          <w:spacing w:val="-16"/>
          <w:sz w:val="16"/>
        </w:rPr>
        <w:t xml:space="preserve"> </w:t>
      </w:r>
      <w:r w:rsidR="00336D98" w:rsidRPr="000A7912">
        <w:rPr>
          <w:sz w:val="16"/>
        </w:rPr>
        <w:t>the</w:t>
      </w:r>
      <w:r w:rsidR="00336D98" w:rsidRPr="000A7912">
        <w:rPr>
          <w:spacing w:val="-16"/>
          <w:sz w:val="16"/>
        </w:rPr>
        <w:t xml:space="preserve"> </w:t>
      </w:r>
      <w:r w:rsidR="00336D98" w:rsidRPr="000A7912">
        <w:rPr>
          <w:sz w:val="16"/>
        </w:rPr>
        <w:t>best</w:t>
      </w:r>
      <w:r w:rsidR="00336D98" w:rsidRPr="000A7912">
        <w:rPr>
          <w:spacing w:val="-15"/>
          <w:sz w:val="16"/>
        </w:rPr>
        <w:t xml:space="preserve"> </w:t>
      </w:r>
      <w:r w:rsidR="00336D98" w:rsidRPr="000A7912">
        <w:rPr>
          <w:sz w:val="16"/>
        </w:rPr>
        <w:t>interests of the child and engage with the family/caregivers as appropriate. Staff and partners should comply with host country and local child welfare and protection legislation and international standards, whichever gives greater</w:t>
      </w:r>
      <w:r w:rsidR="00336D98" w:rsidRPr="000A7912">
        <w:rPr>
          <w:spacing w:val="-12"/>
          <w:sz w:val="16"/>
        </w:rPr>
        <w:t xml:space="preserve"> </w:t>
      </w:r>
      <w:r w:rsidR="00336D98" w:rsidRPr="000A7912">
        <w:rPr>
          <w:sz w:val="16"/>
        </w:rPr>
        <w:t>protection.</w:t>
      </w:r>
    </w:p>
  </w:footnote>
  <w:footnote w:id="3">
    <w:p w14:paraId="29A36A72" w14:textId="3B3CA3A6" w:rsidR="007D723E" w:rsidRDefault="007D723E">
      <w:pPr>
        <w:pStyle w:val="FootnoteText"/>
      </w:pPr>
      <w:r>
        <w:rPr>
          <w:rStyle w:val="FootnoteReference"/>
        </w:rPr>
        <w:footnoteRef/>
      </w:r>
      <w:r>
        <w:t xml:space="preserve"> </w:t>
      </w:r>
      <w:r w:rsidRPr="00CE36AF">
        <w:rPr>
          <w:sz w:val="16"/>
          <w:szCs w:val="16"/>
        </w:rPr>
        <w:t xml:space="preserve">See the UN System Model Policy on Sexual Harassment and </w:t>
      </w:r>
      <w:r w:rsidR="00FE3A9E">
        <w:rPr>
          <w:sz w:val="16"/>
          <w:szCs w:val="16"/>
        </w:rPr>
        <w:t xml:space="preserve">the </w:t>
      </w:r>
      <w:r w:rsidRPr="00CE36AF">
        <w:rPr>
          <w:sz w:val="16"/>
          <w:szCs w:val="16"/>
        </w:rPr>
        <w:t>UN</w:t>
      </w:r>
      <w:r w:rsidR="00FE3A9E">
        <w:rPr>
          <w:sz w:val="16"/>
          <w:szCs w:val="16"/>
        </w:rPr>
        <w:t xml:space="preserve"> </w:t>
      </w:r>
      <w:r w:rsidRPr="00CE36AF">
        <w:rPr>
          <w:sz w:val="16"/>
          <w:szCs w:val="16"/>
        </w:rPr>
        <w:t>S</w:t>
      </w:r>
      <w:r w:rsidR="00FE3A9E">
        <w:rPr>
          <w:sz w:val="16"/>
          <w:szCs w:val="16"/>
        </w:rPr>
        <w:t>ecretary-</w:t>
      </w:r>
      <w:r w:rsidRPr="00CE36AF">
        <w:rPr>
          <w:sz w:val="16"/>
          <w:szCs w:val="16"/>
        </w:rPr>
        <w:t>G</w:t>
      </w:r>
      <w:r w:rsidR="00FE3A9E">
        <w:rPr>
          <w:sz w:val="16"/>
          <w:szCs w:val="16"/>
        </w:rPr>
        <w:t>eneral’s</w:t>
      </w:r>
      <w:r w:rsidRPr="00CE36AF">
        <w:rPr>
          <w:sz w:val="16"/>
          <w:szCs w:val="16"/>
        </w:rPr>
        <w:t xml:space="preserve"> Bulletin ST/SGB/2019/8 for the uniform definition of sexual harassment in the UN System.</w:t>
      </w:r>
      <w:r w:rsidRPr="00576DC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5001" w14:textId="3B527DE3" w:rsidR="00B94475" w:rsidRDefault="00B94475">
    <w:pPr>
      <w:pStyle w:val="Header"/>
    </w:pPr>
    <w:r>
      <w:rPr>
        <w:noProof/>
        <w:lang w:val="nl-NL" w:eastAsia="nl-NL"/>
      </w:rPr>
      <mc:AlternateContent>
        <mc:Choice Requires="wps">
          <w:drawing>
            <wp:anchor distT="0" distB="0" distL="114300" distR="114300" simplePos="0" relativeHeight="251659264" behindDoc="0" locked="0" layoutInCell="0" allowOverlap="1" wp14:anchorId="66B43552" wp14:editId="3482C421">
              <wp:simplePos x="0" y="0"/>
              <wp:positionH relativeFrom="page">
                <wp:posOffset>0</wp:posOffset>
              </wp:positionH>
              <wp:positionV relativeFrom="page">
                <wp:posOffset>190500</wp:posOffset>
              </wp:positionV>
              <wp:extent cx="7560310" cy="273050"/>
              <wp:effectExtent l="0" t="0" r="0" b="12700"/>
              <wp:wrapNone/>
              <wp:docPr id="1" name="MSIPCMe58942bdb97fc14d8e900f3f"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8FED2" w14:textId="5B39AECE" w:rsidR="00B94475" w:rsidRPr="00B94475" w:rsidRDefault="00B94475" w:rsidP="00B9447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B43552" id="_x0000_t202" coordsize="21600,21600" o:spt="202" path="m,l,21600r21600,l21600,xe">
              <v:stroke joinstyle="miter"/>
              <v:path gradientshapeok="t" o:connecttype="rect"/>
            </v:shapetype>
            <v:shape id="MSIPCMe58942bdb97fc14d8e900f3f"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Kbs/LccAwAAOAYAAA4AAAAAAAAAAAAA&#10;AAAALgIAAGRycy9lMm9Eb2MueG1sUEsBAi0AFAAGAAgAAAAhAGkB3iPcAAAABwEAAA8AAAAAAAAA&#10;AAAAAAAAdgUAAGRycy9kb3ducmV2LnhtbFBLBQYAAAAABAAEAPMAAAB/BgAAAAA=&#10;" o:allowincell="f" filled="f" stroked="f" strokeweight=".5pt">
              <v:textbox inset="20pt,0,,0">
                <w:txbxContent>
                  <w:p w14:paraId="2C28FED2" w14:textId="5B39AECE" w:rsidR="00B94475" w:rsidRPr="00B94475" w:rsidRDefault="00B94475" w:rsidP="00B94475">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05BF"/>
    <w:multiLevelType w:val="multilevel"/>
    <w:tmpl w:val="DE68DD4C"/>
    <w:lvl w:ilvl="0">
      <w:start w:val="16"/>
      <w:numFmt w:val="upperLetter"/>
      <w:lvlText w:val="%1"/>
      <w:lvlJc w:val="left"/>
      <w:pPr>
        <w:ind w:left="118" w:hanging="322"/>
      </w:pPr>
      <w:rPr>
        <w:rFonts w:hint="default"/>
      </w:rPr>
    </w:lvl>
    <w:lvl w:ilvl="1">
      <w:start w:val="15"/>
      <w:numFmt w:val="upperLetter"/>
      <w:lvlText w:val="%1.%2."/>
      <w:lvlJc w:val="left"/>
      <w:pPr>
        <w:ind w:left="118" w:hanging="322"/>
      </w:pPr>
      <w:rPr>
        <w:rFonts w:ascii="Verdana" w:eastAsia="Verdana" w:hAnsi="Verdana" w:cs="Verdana" w:hint="default"/>
        <w:spacing w:val="-1"/>
        <w:w w:val="99"/>
        <w:sz w:val="13"/>
        <w:szCs w:val="13"/>
      </w:rPr>
    </w:lvl>
    <w:lvl w:ilvl="2">
      <w:start w:val="1"/>
      <w:numFmt w:val="lowerLetter"/>
      <w:lvlText w:val="%3)"/>
      <w:lvlJc w:val="left"/>
      <w:pPr>
        <w:ind w:left="1311" w:hanging="360"/>
      </w:pPr>
      <w:rPr>
        <w:rFonts w:ascii="Verdana" w:eastAsia="Verdana" w:hAnsi="Verdana" w:cs="Verdana" w:hint="default"/>
        <w:spacing w:val="-1"/>
        <w:w w:val="100"/>
        <w:sz w:val="17"/>
        <w:szCs w:val="17"/>
      </w:rPr>
    </w:lvl>
    <w:lvl w:ilvl="3">
      <w:numFmt w:val="bullet"/>
      <w:lvlText w:val="•"/>
      <w:lvlJc w:val="left"/>
      <w:pPr>
        <w:ind w:left="1255" w:hanging="360"/>
      </w:pPr>
      <w:rPr>
        <w:rFonts w:hint="default"/>
      </w:rPr>
    </w:lvl>
    <w:lvl w:ilvl="4">
      <w:numFmt w:val="bullet"/>
      <w:lvlText w:val="•"/>
      <w:lvlJc w:val="left"/>
      <w:pPr>
        <w:ind w:left="1222" w:hanging="360"/>
      </w:pPr>
      <w:rPr>
        <w:rFonts w:hint="default"/>
      </w:rPr>
    </w:lvl>
    <w:lvl w:ilvl="5">
      <w:numFmt w:val="bullet"/>
      <w:lvlText w:val="•"/>
      <w:lvlJc w:val="left"/>
      <w:pPr>
        <w:ind w:left="1190" w:hanging="360"/>
      </w:pPr>
      <w:rPr>
        <w:rFonts w:hint="default"/>
      </w:rPr>
    </w:lvl>
    <w:lvl w:ilvl="6">
      <w:numFmt w:val="bullet"/>
      <w:lvlText w:val="•"/>
      <w:lvlJc w:val="left"/>
      <w:pPr>
        <w:ind w:left="1158" w:hanging="360"/>
      </w:pPr>
      <w:rPr>
        <w:rFonts w:hint="default"/>
      </w:rPr>
    </w:lvl>
    <w:lvl w:ilvl="7">
      <w:numFmt w:val="bullet"/>
      <w:lvlText w:val="•"/>
      <w:lvlJc w:val="left"/>
      <w:pPr>
        <w:ind w:left="1125" w:hanging="360"/>
      </w:pPr>
      <w:rPr>
        <w:rFonts w:hint="default"/>
      </w:rPr>
    </w:lvl>
    <w:lvl w:ilvl="8">
      <w:numFmt w:val="bullet"/>
      <w:lvlText w:val="•"/>
      <w:lvlJc w:val="left"/>
      <w:pPr>
        <w:ind w:left="1093" w:hanging="360"/>
      </w:pPr>
      <w:rPr>
        <w:rFonts w:hint="default"/>
      </w:rPr>
    </w:lvl>
  </w:abstractNum>
  <w:abstractNum w:abstractNumId="1" w15:restartNumberingAfterBreak="0">
    <w:nsid w:val="48DD7F29"/>
    <w:multiLevelType w:val="hybridMultilevel"/>
    <w:tmpl w:val="08B2F36C"/>
    <w:lvl w:ilvl="0" w:tplc="D1D224E0">
      <w:start w:val="4"/>
      <w:numFmt w:val="bullet"/>
      <w:lvlText w:val=""/>
      <w:lvlJc w:val="left"/>
      <w:pPr>
        <w:ind w:left="720" w:hanging="360"/>
      </w:pPr>
      <w:rPr>
        <w:rFonts w:ascii="Wingdings" w:eastAsia="Verdana" w:hAnsi="Wingdings"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3D36F1"/>
    <w:multiLevelType w:val="multilevel"/>
    <w:tmpl w:val="DE68DD4C"/>
    <w:lvl w:ilvl="0">
      <w:start w:val="16"/>
      <w:numFmt w:val="upperLetter"/>
      <w:lvlText w:val="%1"/>
      <w:lvlJc w:val="left"/>
      <w:pPr>
        <w:ind w:left="118" w:hanging="322"/>
      </w:pPr>
      <w:rPr>
        <w:rFonts w:hint="default"/>
      </w:rPr>
    </w:lvl>
    <w:lvl w:ilvl="1">
      <w:start w:val="15"/>
      <w:numFmt w:val="upperLetter"/>
      <w:lvlText w:val="%1.%2."/>
      <w:lvlJc w:val="left"/>
      <w:pPr>
        <w:ind w:left="118" w:hanging="322"/>
      </w:pPr>
      <w:rPr>
        <w:rFonts w:ascii="Verdana" w:eastAsia="Verdana" w:hAnsi="Verdana" w:cs="Verdana" w:hint="default"/>
        <w:spacing w:val="-1"/>
        <w:w w:val="99"/>
        <w:sz w:val="13"/>
        <w:szCs w:val="13"/>
      </w:rPr>
    </w:lvl>
    <w:lvl w:ilvl="2">
      <w:start w:val="1"/>
      <w:numFmt w:val="lowerLetter"/>
      <w:lvlText w:val="%3)"/>
      <w:lvlJc w:val="left"/>
      <w:pPr>
        <w:ind w:left="1311" w:hanging="360"/>
      </w:pPr>
      <w:rPr>
        <w:rFonts w:ascii="Verdana" w:eastAsia="Verdana" w:hAnsi="Verdana" w:cs="Verdana" w:hint="default"/>
        <w:spacing w:val="-1"/>
        <w:w w:val="100"/>
        <w:sz w:val="17"/>
        <w:szCs w:val="17"/>
      </w:rPr>
    </w:lvl>
    <w:lvl w:ilvl="3">
      <w:numFmt w:val="bullet"/>
      <w:lvlText w:val="•"/>
      <w:lvlJc w:val="left"/>
      <w:pPr>
        <w:ind w:left="1255" w:hanging="360"/>
      </w:pPr>
      <w:rPr>
        <w:rFonts w:hint="default"/>
      </w:rPr>
    </w:lvl>
    <w:lvl w:ilvl="4">
      <w:numFmt w:val="bullet"/>
      <w:lvlText w:val="•"/>
      <w:lvlJc w:val="left"/>
      <w:pPr>
        <w:ind w:left="1222" w:hanging="360"/>
      </w:pPr>
      <w:rPr>
        <w:rFonts w:hint="default"/>
      </w:rPr>
    </w:lvl>
    <w:lvl w:ilvl="5">
      <w:numFmt w:val="bullet"/>
      <w:lvlText w:val="•"/>
      <w:lvlJc w:val="left"/>
      <w:pPr>
        <w:ind w:left="1190" w:hanging="360"/>
      </w:pPr>
      <w:rPr>
        <w:rFonts w:hint="default"/>
      </w:rPr>
    </w:lvl>
    <w:lvl w:ilvl="6">
      <w:numFmt w:val="bullet"/>
      <w:lvlText w:val="•"/>
      <w:lvlJc w:val="left"/>
      <w:pPr>
        <w:ind w:left="1158" w:hanging="360"/>
      </w:pPr>
      <w:rPr>
        <w:rFonts w:hint="default"/>
      </w:rPr>
    </w:lvl>
    <w:lvl w:ilvl="7">
      <w:numFmt w:val="bullet"/>
      <w:lvlText w:val="•"/>
      <w:lvlJc w:val="left"/>
      <w:pPr>
        <w:ind w:left="1125" w:hanging="360"/>
      </w:pPr>
      <w:rPr>
        <w:rFonts w:hint="default"/>
      </w:rPr>
    </w:lvl>
    <w:lvl w:ilvl="8">
      <w:numFmt w:val="bullet"/>
      <w:lvlText w:val="•"/>
      <w:lvlJc w:val="left"/>
      <w:pPr>
        <w:ind w:left="1093" w:hanging="360"/>
      </w:pPr>
      <w:rPr>
        <w:rFonts w:hint="default"/>
      </w:rPr>
    </w:lvl>
  </w:abstractNum>
  <w:abstractNum w:abstractNumId="3" w15:restartNumberingAfterBreak="0">
    <w:nsid w:val="77A427AF"/>
    <w:multiLevelType w:val="hybridMultilevel"/>
    <w:tmpl w:val="67909E80"/>
    <w:lvl w:ilvl="0" w:tplc="074E811A">
      <w:start w:val="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34"/>
    <w:rsid w:val="00006BED"/>
    <w:rsid w:val="000135CB"/>
    <w:rsid w:val="00035E00"/>
    <w:rsid w:val="00074909"/>
    <w:rsid w:val="000866A1"/>
    <w:rsid w:val="00087E05"/>
    <w:rsid w:val="000A4737"/>
    <w:rsid w:val="000C0A64"/>
    <w:rsid w:val="001142DB"/>
    <w:rsid w:val="00116FE9"/>
    <w:rsid w:val="00124916"/>
    <w:rsid w:val="00130B34"/>
    <w:rsid w:val="00144D4E"/>
    <w:rsid w:val="00157B90"/>
    <w:rsid w:val="00191BA5"/>
    <w:rsid w:val="001D3971"/>
    <w:rsid w:val="00202426"/>
    <w:rsid w:val="002357B9"/>
    <w:rsid w:val="00237EE2"/>
    <w:rsid w:val="00240FA8"/>
    <w:rsid w:val="00247A18"/>
    <w:rsid w:val="00263C10"/>
    <w:rsid w:val="00272CDC"/>
    <w:rsid w:val="00281E0E"/>
    <w:rsid w:val="002858C4"/>
    <w:rsid w:val="0028591B"/>
    <w:rsid w:val="002A029D"/>
    <w:rsid w:val="002C568B"/>
    <w:rsid w:val="002C5905"/>
    <w:rsid w:val="002E26E3"/>
    <w:rsid w:val="002E42EC"/>
    <w:rsid w:val="0032237E"/>
    <w:rsid w:val="00336D98"/>
    <w:rsid w:val="003810F9"/>
    <w:rsid w:val="003A2960"/>
    <w:rsid w:val="003B36A2"/>
    <w:rsid w:val="003B4BA1"/>
    <w:rsid w:val="003D6D3A"/>
    <w:rsid w:val="004C30D4"/>
    <w:rsid w:val="004E051C"/>
    <w:rsid w:val="004F415F"/>
    <w:rsid w:val="005361EB"/>
    <w:rsid w:val="00540771"/>
    <w:rsid w:val="0056344B"/>
    <w:rsid w:val="00576DCC"/>
    <w:rsid w:val="00585C49"/>
    <w:rsid w:val="005A5BD3"/>
    <w:rsid w:val="00610735"/>
    <w:rsid w:val="006273ED"/>
    <w:rsid w:val="00632960"/>
    <w:rsid w:val="006948DF"/>
    <w:rsid w:val="006C4574"/>
    <w:rsid w:val="006F5002"/>
    <w:rsid w:val="0072281F"/>
    <w:rsid w:val="007251C2"/>
    <w:rsid w:val="0072606D"/>
    <w:rsid w:val="00735109"/>
    <w:rsid w:val="007475F5"/>
    <w:rsid w:val="00754C8C"/>
    <w:rsid w:val="00761288"/>
    <w:rsid w:val="00782C5D"/>
    <w:rsid w:val="007874F2"/>
    <w:rsid w:val="007D5EEC"/>
    <w:rsid w:val="007D723E"/>
    <w:rsid w:val="007E0517"/>
    <w:rsid w:val="00817CF8"/>
    <w:rsid w:val="00835CF1"/>
    <w:rsid w:val="00836EAF"/>
    <w:rsid w:val="0088172F"/>
    <w:rsid w:val="00895661"/>
    <w:rsid w:val="008C0E85"/>
    <w:rsid w:val="008D0546"/>
    <w:rsid w:val="0097263C"/>
    <w:rsid w:val="009750EA"/>
    <w:rsid w:val="0098686F"/>
    <w:rsid w:val="00992DEA"/>
    <w:rsid w:val="00996FF8"/>
    <w:rsid w:val="009A249B"/>
    <w:rsid w:val="009A2F46"/>
    <w:rsid w:val="009E1963"/>
    <w:rsid w:val="00A51E9A"/>
    <w:rsid w:val="00A91A9B"/>
    <w:rsid w:val="00A93187"/>
    <w:rsid w:val="00AB12AE"/>
    <w:rsid w:val="00B6406C"/>
    <w:rsid w:val="00B75F7B"/>
    <w:rsid w:val="00B902C5"/>
    <w:rsid w:val="00B94475"/>
    <w:rsid w:val="00BB10A9"/>
    <w:rsid w:val="00BC2A6A"/>
    <w:rsid w:val="00BD3F5A"/>
    <w:rsid w:val="00BE069B"/>
    <w:rsid w:val="00BE0E6D"/>
    <w:rsid w:val="00C354DD"/>
    <w:rsid w:val="00C4581D"/>
    <w:rsid w:val="00C47D31"/>
    <w:rsid w:val="00C65BA0"/>
    <w:rsid w:val="00C72710"/>
    <w:rsid w:val="00C739FE"/>
    <w:rsid w:val="00C80D87"/>
    <w:rsid w:val="00C82A34"/>
    <w:rsid w:val="00C90603"/>
    <w:rsid w:val="00C9067F"/>
    <w:rsid w:val="00C93BC3"/>
    <w:rsid w:val="00CE36AF"/>
    <w:rsid w:val="00D0239B"/>
    <w:rsid w:val="00D40517"/>
    <w:rsid w:val="00D94527"/>
    <w:rsid w:val="00DE7857"/>
    <w:rsid w:val="00E23C53"/>
    <w:rsid w:val="00E31A4C"/>
    <w:rsid w:val="00E66DF8"/>
    <w:rsid w:val="00E6749E"/>
    <w:rsid w:val="00E76DEB"/>
    <w:rsid w:val="00E9194B"/>
    <w:rsid w:val="00ED31A1"/>
    <w:rsid w:val="00EF0A94"/>
    <w:rsid w:val="00F02CD3"/>
    <w:rsid w:val="00F06BA9"/>
    <w:rsid w:val="00F255DF"/>
    <w:rsid w:val="00F25AF2"/>
    <w:rsid w:val="00F56316"/>
    <w:rsid w:val="00F57A43"/>
    <w:rsid w:val="00F84B25"/>
    <w:rsid w:val="00F905BF"/>
    <w:rsid w:val="00FA3098"/>
    <w:rsid w:val="00FB1CEE"/>
    <w:rsid w:val="00FC5514"/>
    <w:rsid w:val="00FD3097"/>
    <w:rsid w:val="00FE3A9E"/>
    <w:rsid w:val="00FF74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BF9CD"/>
  <w15:chartTrackingRefBased/>
  <w15:docId w15:val="{7755EC64-F24E-48DD-B154-107E8695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34"/>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0B34"/>
    <w:rPr>
      <w:sz w:val="17"/>
      <w:szCs w:val="17"/>
    </w:rPr>
  </w:style>
  <w:style w:type="character" w:customStyle="1" w:styleId="BodyTextChar">
    <w:name w:val="Body Text Char"/>
    <w:basedOn w:val="DefaultParagraphFont"/>
    <w:link w:val="BodyText"/>
    <w:uiPriority w:val="1"/>
    <w:rsid w:val="00130B34"/>
    <w:rPr>
      <w:rFonts w:ascii="Verdana" w:eastAsia="Verdana" w:hAnsi="Verdana" w:cs="Verdana"/>
      <w:sz w:val="17"/>
      <w:szCs w:val="17"/>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L,References"/>
    <w:basedOn w:val="Normal"/>
    <w:link w:val="ListParagraphChar"/>
    <w:uiPriority w:val="34"/>
    <w:qFormat/>
    <w:rsid w:val="00130B34"/>
    <w:pPr>
      <w:ind w:left="1311" w:hanging="3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locked/>
    <w:rsid w:val="00130B34"/>
    <w:rPr>
      <w:rFonts w:ascii="Verdana" w:eastAsia="Verdana" w:hAnsi="Verdana" w:cs="Verdana"/>
    </w:rPr>
  </w:style>
  <w:style w:type="character" w:styleId="CommentReference">
    <w:name w:val="annotation reference"/>
    <w:basedOn w:val="DefaultParagraphFont"/>
    <w:uiPriority w:val="99"/>
    <w:semiHidden/>
    <w:unhideWhenUsed/>
    <w:rsid w:val="00FF743D"/>
    <w:rPr>
      <w:sz w:val="16"/>
      <w:szCs w:val="16"/>
    </w:rPr>
  </w:style>
  <w:style w:type="paragraph" w:styleId="CommentText">
    <w:name w:val="annotation text"/>
    <w:basedOn w:val="Normal"/>
    <w:link w:val="CommentTextChar"/>
    <w:uiPriority w:val="99"/>
    <w:unhideWhenUsed/>
    <w:rsid w:val="00FF743D"/>
    <w:rPr>
      <w:sz w:val="20"/>
      <w:szCs w:val="20"/>
    </w:rPr>
  </w:style>
  <w:style w:type="character" w:customStyle="1" w:styleId="CommentTextChar">
    <w:name w:val="Comment Text Char"/>
    <w:basedOn w:val="DefaultParagraphFont"/>
    <w:link w:val="CommentText"/>
    <w:uiPriority w:val="99"/>
    <w:rsid w:val="00FF743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FF743D"/>
    <w:rPr>
      <w:b/>
      <w:bCs/>
    </w:rPr>
  </w:style>
  <w:style w:type="character" w:customStyle="1" w:styleId="CommentSubjectChar">
    <w:name w:val="Comment Subject Char"/>
    <w:basedOn w:val="CommentTextChar"/>
    <w:link w:val="CommentSubject"/>
    <w:uiPriority w:val="99"/>
    <w:semiHidden/>
    <w:rsid w:val="00FF743D"/>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FF7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3D"/>
    <w:rPr>
      <w:rFonts w:ascii="Segoe UI" w:eastAsia="Verdana" w:hAnsi="Segoe UI" w:cs="Segoe UI"/>
      <w:sz w:val="18"/>
      <w:szCs w:val="18"/>
    </w:rPr>
  </w:style>
  <w:style w:type="paragraph" w:styleId="Header">
    <w:name w:val="header"/>
    <w:basedOn w:val="Normal"/>
    <w:link w:val="HeaderChar"/>
    <w:uiPriority w:val="99"/>
    <w:unhideWhenUsed/>
    <w:rsid w:val="00B94475"/>
    <w:pPr>
      <w:tabs>
        <w:tab w:val="center" w:pos="4513"/>
        <w:tab w:val="right" w:pos="9026"/>
      </w:tabs>
    </w:pPr>
  </w:style>
  <w:style w:type="character" w:customStyle="1" w:styleId="HeaderChar">
    <w:name w:val="Header Char"/>
    <w:basedOn w:val="DefaultParagraphFont"/>
    <w:link w:val="Header"/>
    <w:uiPriority w:val="99"/>
    <w:rsid w:val="00B94475"/>
    <w:rPr>
      <w:rFonts w:ascii="Verdana" w:eastAsia="Verdana" w:hAnsi="Verdana" w:cs="Verdana"/>
    </w:rPr>
  </w:style>
  <w:style w:type="paragraph" w:styleId="Footer">
    <w:name w:val="footer"/>
    <w:basedOn w:val="Normal"/>
    <w:link w:val="FooterChar"/>
    <w:uiPriority w:val="99"/>
    <w:unhideWhenUsed/>
    <w:rsid w:val="00B94475"/>
    <w:pPr>
      <w:tabs>
        <w:tab w:val="center" w:pos="4513"/>
        <w:tab w:val="right" w:pos="9026"/>
      </w:tabs>
    </w:pPr>
  </w:style>
  <w:style w:type="character" w:customStyle="1" w:styleId="FooterChar">
    <w:name w:val="Footer Char"/>
    <w:basedOn w:val="DefaultParagraphFont"/>
    <w:link w:val="Footer"/>
    <w:uiPriority w:val="99"/>
    <w:rsid w:val="00B94475"/>
    <w:rPr>
      <w:rFonts w:ascii="Verdana" w:eastAsia="Verdana" w:hAnsi="Verdana" w:cs="Verdana"/>
    </w:rPr>
  </w:style>
  <w:style w:type="paragraph" w:styleId="FootnoteText">
    <w:name w:val="footnote text"/>
    <w:basedOn w:val="Normal"/>
    <w:link w:val="FootnoteTextChar"/>
    <w:uiPriority w:val="99"/>
    <w:semiHidden/>
    <w:unhideWhenUsed/>
    <w:rsid w:val="00585C49"/>
    <w:rPr>
      <w:sz w:val="20"/>
      <w:szCs w:val="20"/>
    </w:rPr>
  </w:style>
  <w:style w:type="character" w:customStyle="1" w:styleId="FootnoteTextChar">
    <w:name w:val="Footnote Text Char"/>
    <w:basedOn w:val="DefaultParagraphFont"/>
    <w:link w:val="FootnoteText"/>
    <w:uiPriority w:val="99"/>
    <w:semiHidden/>
    <w:rsid w:val="00585C49"/>
    <w:rPr>
      <w:rFonts w:ascii="Verdana" w:eastAsia="Verdana" w:hAnsi="Verdana" w:cs="Verdana"/>
      <w:sz w:val="20"/>
      <w:szCs w:val="20"/>
    </w:rPr>
  </w:style>
  <w:style w:type="character" w:styleId="FootnoteReference">
    <w:name w:val="footnote reference"/>
    <w:basedOn w:val="DefaultParagraphFont"/>
    <w:uiPriority w:val="99"/>
    <w:semiHidden/>
    <w:unhideWhenUsed/>
    <w:rsid w:val="00585C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5A84E52988574B8D4ED6D21343F087" ma:contentTypeVersion="2" ma:contentTypeDescription="Create a new document." ma:contentTypeScope="" ma:versionID="b21b39f3178a7747248a35058122b1fb">
  <xsd:schema xmlns:xsd="http://www.w3.org/2001/XMLSchema" xmlns:xs="http://www.w3.org/2001/XMLSchema" xmlns:p="http://schemas.microsoft.com/office/2006/metadata/properties" targetNamespace="http://schemas.microsoft.com/office/2006/metadata/properties" ma:root="true" ma:fieldsID="8cfb2408d54898f964b8d249141f4b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4C87B-ACE7-4CFB-9192-0BE35B576566}">
  <ds:schemaRefs>
    <ds:schemaRef ds:uri="http://schemas.openxmlformats.org/officeDocument/2006/bibliography"/>
  </ds:schemaRefs>
</ds:datastoreItem>
</file>

<file path=customXml/itemProps2.xml><?xml version="1.0" encoding="utf-8"?>
<ds:datastoreItem xmlns:ds="http://schemas.openxmlformats.org/officeDocument/2006/customXml" ds:itemID="{A50254B1-CDB9-4F21-8B80-193FF28D0CA3}"/>
</file>

<file path=customXml/itemProps3.xml><?xml version="1.0" encoding="utf-8"?>
<ds:datastoreItem xmlns:ds="http://schemas.openxmlformats.org/officeDocument/2006/customXml" ds:itemID="{C2CC56DB-787F-4F69-BF19-BA27AF61111D}"/>
</file>

<file path=customXml/itemProps4.xml><?xml version="1.0" encoding="utf-8"?>
<ds:datastoreItem xmlns:ds="http://schemas.openxmlformats.org/officeDocument/2006/customXml" ds:itemID="{95EF57E8-60F2-4B73-BB6E-5034CB5B29C6}"/>
</file>

<file path=docProps/app.xml><?xml version="1.0" encoding="utf-8"?>
<Properties xmlns="http://schemas.openxmlformats.org/officeDocument/2006/extended-properties" xmlns:vt="http://schemas.openxmlformats.org/officeDocument/2006/docPropsVTypes">
  <Template>Normal</Template>
  <TotalTime>3</TotalTime>
  <Pages>2</Pages>
  <Words>1140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Keldenich, Meike</dc:creator>
  <cp:keywords/>
  <dc:description/>
  <cp:lastModifiedBy>Keldenich, Meike</cp:lastModifiedBy>
  <cp:revision>3</cp:revision>
  <dcterms:created xsi:type="dcterms:W3CDTF">2021-07-26T16:57:00Z</dcterms:created>
  <dcterms:modified xsi:type="dcterms:W3CDTF">2021-07-26T16:58:00Z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2021-06-07T13:29:11Z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ab399e74-d0e3-4005-9fca-c032c524e90d</vt:lpwstr>
  </property>
  <property fmtid="{D5CDD505-2E9C-101B-9397-08002B2CF9AE}" pid="8" name="MSIP_Label_e4c996da-17fa-4fc5-8989-2758fb4cf86b_ContentBits">
    <vt:lpwstr>1</vt:lpwstr>
  </property>
  <property fmtid="{D5CDD505-2E9C-101B-9397-08002B2CF9AE}" pid="9" name="ContentTypeId">
    <vt:lpwstr>0x010100895A84E52988574B8D4ED6D21343F087</vt:lpwstr>
  </property>
</Properties>
</file>