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0F62" w14:textId="35499F27" w:rsidR="00E0250E" w:rsidRDefault="00E0250E" w:rsidP="00DC15FC">
      <w:pPr>
        <w:spacing w:before="100"/>
        <w:ind w:right="90"/>
        <w:jc w:val="center"/>
        <w:rPr>
          <w:rFonts w:cstheme="minorHAnsi"/>
          <w:b/>
          <w:bCs/>
          <w:sz w:val="24"/>
          <w:szCs w:val="24"/>
          <w:u w:val="single"/>
        </w:rPr>
      </w:pPr>
      <w:r w:rsidRPr="00E0250E">
        <w:rPr>
          <w:rFonts w:cstheme="minorHAnsi"/>
          <w:b/>
          <w:bCs/>
          <w:sz w:val="24"/>
          <w:szCs w:val="24"/>
          <w:u w:val="single"/>
        </w:rPr>
        <w:t>Overview and Frequently Asked Questions (FAQ)</w:t>
      </w:r>
    </w:p>
    <w:p w14:paraId="0C350406" w14:textId="7A482C65" w:rsidR="00540DCF" w:rsidRDefault="00076578" w:rsidP="006B4976">
      <w:pPr>
        <w:spacing w:before="100" w:after="0"/>
        <w:ind w:right="90"/>
        <w:jc w:val="center"/>
        <w:rPr>
          <w:rFonts w:cstheme="minorHAnsi"/>
          <w:b/>
          <w:bCs/>
          <w:sz w:val="24"/>
          <w:szCs w:val="24"/>
        </w:rPr>
      </w:pPr>
      <w:r w:rsidRPr="003B511D">
        <w:rPr>
          <w:rFonts w:cstheme="minorHAnsi"/>
          <w:b/>
          <w:bCs/>
          <w:sz w:val="24"/>
          <w:szCs w:val="24"/>
        </w:rPr>
        <w:t xml:space="preserve">Multi-Donor Trust Fund (MDTF) for Co-financing of the </w:t>
      </w:r>
      <w:r w:rsidR="000927E1" w:rsidRPr="000927E1">
        <w:rPr>
          <w:rFonts w:cstheme="minorHAnsi"/>
          <w:b/>
          <w:bCs/>
          <w:sz w:val="24"/>
          <w:szCs w:val="24"/>
        </w:rPr>
        <w:t xml:space="preserve">Public Expenditures for Administrative Capacity Endurance </w:t>
      </w:r>
      <w:r w:rsidR="008C085C">
        <w:rPr>
          <w:rFonts w:cstheme="minorHAnsi"/>
          <w:b/>
          <w:bCs/>
          <w:sz w:val="24"/>
          <w:szCs w:val="24"/>
        </w:rPr>
        <w:t xml:space="preserve">(PEACE) </w:t>
      </w:r>
      <w:r w:rsidR="000927E1" w:rsidRPr="000927E1">
        <w:rPr>
          <w:rFonts w:cstheme="minorHAnsi"/>
          <w:b/>
          <w:bCs/>
          <w:sz w:val="24"/>
          <w:szCs w:val="24"/>
        </w:rPr>
        <w:t>in Ukraine Project</w:t>
      </w:r>
    </w:p>
    <w:p w14:paraId="53A9936B" w14:textId="50AC3A5F" w:rsidR="00076578" w:rsidRDefault="00E0250E" w:rsidP="006B4976">
      <w:pPr>
        <w:ind w:right="90"/>
        <w:jc w:val="center"/>
        <w:rPr>
          <w:rFonts w:cstheme="minorHAnsi"/>
          <w:b/>
          <w:bCs/>
          <w:sz w:val="24"/>
          <w:szCs w:val="24"/>
        </w:rPr>
      </w:pPr>
      <w:r>
        <w:rPr>
          <w:rFonts w:cstheme="minorHAnsi"/>
          <w:b/>
          <w:bCs/>
          <w:sz w:val="24"/>
          <w:szCs w:val="24"/>
        </w:rPr>
        <w:t>(</w:t>
      </w:r>
      <w:r w:rsidR="005428E3" w:rsidRPr="00540DCF">
        <w:rPr>
          <w:rFonts w:cstheme="minorHAnsi"/>
          <w:b/>
          <w:bCs/>
          <w:sz w:val="24"/>
          <w:szCs w:val="24"/>
        </w:rPr>
        <w:t>TF073829</w:t>
      </w:r>
      <w:r w:rsidR="005428E3">
        <w:rPr>
          <w:rFonts w:cstheme="minorHAnsi"/>
          <w:b/>
          <w:bCs/>
          <w:sz w:val="24"/>
          <w:szCs w:val="24"/>
        </w:rPr>
        <w:t>/</w:t>
      </w:r>
      <w:r w:rsidR="00053784" w:rsidRPr="00540DCF">
        <w:rPr>
          <w:rFonts w:cstheme="minorHAnsi"/>
          <w:b/>
          <w:bCs/>
          <w:sz w:val="24"/>
          <w:szCs w:val="24"/>
        </w:rPr>
        <w:t>TF073828</w:t>
      </w:r>
      <w:r>
        <w:rPr>
          <w:rFonts w:cstheme="minorHAnsi"/>
          <w:b/>
          <w:bCs/>
          <w:sz w:val="24"/>
          <w:szCs w:val="24"/>
        </w:rPr>
        <w:t>)</w:t>
      </w:r>
    </w:p>
    <w:p w14:paraId="01763652" w14:textId="77777777" w:rsidR="006B4976" w:rsidRPr="006B4976" w:rsidRDefault="006B4976" w:rsidP="006B4976">
      <w:pPr>
        <w:spacing w:before="100"/>
        <w:ind w:right="90"/>
        <w:jc w:val="center"/>
        <w:rPr>
          <w:rFonts w:cstheme="minorHAnsi"/>
          <w:i/>
          <w:iCs/>
          <w:sz w:val="24"/>
          <w:szCs w:val="24"/>
        </w:rPr>
      </w:pPr>
      <w:r w:rsidRPr="006B4976">
        <w:rPr>
          <w:rFonts w:cstheme="minorHAnsi"/>
          <w:i/>
          <w:iCs/>
          <w:sz w:val="24"/>
          <w:szCs w:val="24"/>
        </w:rPr>
        <w:t>July 2022</w:t>
      </w:r>
    </w:p>
    <w:p w14:paraId="5C5D097D" w14:textId="2235BC5A" w:rsidR="00691FB8" w:rsidRPr="00B638DC" w:rsidRDefault="00FE0441" w:rsidP="00912F3B">
      <w:pPr>
        <w:pStyle w:val="Heading2"/>
        <w:numPr>
          <w:ilvl w:val="0"/>
          <w:numId w:val="15"/>
        </w:numPr>
        <w:rPr>
          <w:b/>
          <w:bCs/>
          <w:u w:val="single"/>
        </w:rPr>
      </w:pPr>
      <w:r>
        <w:rPr>
          <w:b/>
          <w:bCs/>
          <w:u w:val="single"/>
        </w:rPr>
        <w:t xml:space="preserve">Overall </w:t>
      </w:r>
      <w:r w:rsidR="00691FB8" w:rsidRPr="00B638DC">
        <w:rPr>
          <w:b/>
          <w:bCs/>
          <w:u w:val="single"/>
        </w:rPr>
        <w:t xml:space="preserve">Summary </w:t>
      </w:r>
      <w:r>
        <w:rPr>
          <w:b/>
          <w:bCs/>
          <w:u w:val="single"/>
        </w:rPr>
        <w:t>and Context</w:t>
      </w:r>
    </w:p>
    <w:p w14:paraId="6935289C" w14:textId="09B67704" w:rsidR="001F56A5" w:rsidRPr="004F1122" w:rsidRDefault="004F1122" w:rsidP="004F1122">
      <w:pPr>
        <w:pStyle w:val="ListParagraph"/>
        <w:numPr>
          <w:ilvl w:val="0"/>
          <w:numId w:val="9"/>
        </w:numPr>
        <w:spacing w:after="120" w:line="240" w:lineRule="auto"/>
        <w:ind w:left="360"/>
        <w:rPr>
          <w:rFonts w:eastAsia="Times New Roman" w:cstheme="minorHAnsi"/>
        </w:rPr>
      </w:pPr>
      <w:r w:rsidRPr="004F1122">
        <w:rPr>
          <w:rFonts w:eastAsia="Times New Roman" w:cstheme="minorHAnsi"/>
          <w:b/>
          <w:bCs/>
        </w:rPr>
        <w:t xml:space="preserve">Russia’s invasion of Ukraine on February 24, 2022 is having devastating economic, social and poverty </w:t>
      </w:r>
      <w:r w:rsidRPr="004F1122">
        <w:rPr>
          <w:rFonts w:eastAsia="Times New Roman"/>
          <w:b/>
          <w:bCs/>
        </w:rPr>
        <w:t>consequences</w:t>
      </w:r>
      <w:r w:rsidRPr="004F1122">
        <w:rPr>
          <w:rFonts w:eastAsia="Times New Roman" w:cstheme="minorHAnsi"/>
        </w:rPr>
        <w:t>.</w:t>
      </w:r>
      <w:r>
        <w:rPr>
          <w:rFonts w:eastAsia="Times New Roman" w:cstheme="minorHAnsi"/>
        </w:rPr>
        <w:t xml:space="preserve"> </w:t>
      </w:r>
      <w:r w:rsidR="001F56A5" w:rsidRPr="004F1122">
        <w:rPr>
          <w:rFonts w:eastAsia="Times New Roman"/>
        </w:rPr>
        <w:t>The Government of Ukraine (GoU) continues to play a crucial role in providing services to its people, making priority social payments, including pensions, as well as taking crisis management actions to prevent a deeper humanitarian and social impact during wartime.</w:t>
      </w:r>
    </w:p>
    <w:p w14:paraId="3763E3DB" w14:textId="77777777" w:rsidR="001F56A5" w:rsidRPr="001F56A5" w:rsidRDefault="001F56A5" w:rsidP="00912F3B">
      <w:pPr>
        <w:pStyle w:val="ListParagraph"/>
        <w:rPr>
          <w:rFonts w:eastAsia="Times New Roman" w:cstheme="minorHAnsi"/>
          <w:spacing w:val="1"/>
        </w:rPr>
      </w:pPr>
    </w:p>
    <w:p w14:paraId="56811594" w14:textId="4B7BD8B3" w:rsidR="005428E3" w:rsidRPr="00F16926" w:rsidRDefault="005428E3" w:rsidP="00912F3B">
      <w:pPr>
        <w:pStyle w:val="ListParagraph"/>
        <w:numPr>
          <w:ilvl w:val="0"/>
          <w:numId w:val="9"/>
        </w:numPr>
        <w:spacing w:after="120" w:line="240" w:lineRule="auto"/>
        <w:ind w:left="360"/>
        <w:rPr>
          <w:rFonts w:eastAsia="Times New Roman"/>
        </w:rPr>
      </w:pPr>
      <w:r w:rsidRPr="00F16926">
        <w:rPr>
          <w:rFonts w:eastAsia="Times New Roman" w:cstheme="minorHAnsi"/>
          <w:spacing w:val="1"/>
        </w:rPr>
        <w:t xml:space="preserve">The Government and the Ukrainian people are demonstrating extraordinary resilience, but </w:t>
      </w:r>
      <w:r w:rsidRPr="00F16926">
        <w:rPr>
          <w:rFonts w:eastAsia="Times New Roman" w:cstheme="minorHAnsi"/>
          <w:b/>
          <w:bCs/>
          <w:spacing w:val="1"/>
        </w:rPr>
        <w:t>the need for additional financial support to continue to deliver basic human services—including medical care, social protection and civil servant salaries—is urgent.</w:t>
      </w:r>
    </w:p>
    <w:p w14:paraId="49E03F3C" w14:textId="77777777" w:rsidR="008901A9" w:rsidRDefault="008901A9" w:rsidP="00912F3B">
      <w:pPr>
        <w:pStyle w:val="ListParagraph"/>
        <w:spacing w:after="120" w:line="240" w:lineRule="auto"/>
        <w:ind w:left="360"/>
        <w:rPr>
          <w:rFonts w:eastAsia="Times New Roman"/>
        </w:rPr>
      </w:pPr>
    </w:p>
    <w:p w14:paraId="0C00EB3E" w14:textId="5FAB461F" w:rsidR="005B1D04" w:rsidRPr="005B1D04" w:rsidRDefault="00ED5790" w:rsidP="00912F3B">
      <w:pPr>
        <w:pStyle w:val="ListParagraph"/>
        <w:numPr>
          <w:ilvl w:val="0"/>
          <w:numId w:val="9"/>
        </w:numPr>
        <w:spacing w:after="120" w:line="240" w:lineRule="auto"/>
        <w:ind w:left="360"/>
        <w:rPr>
          <w:rFonts w:eastAsia="Times New Roman"/>
        </w:rPr>
      </w:pPr>
      <w:r w:rsidRPr="00BE1700">
        <w:t xml:space="preserve">On June 7, 2022, the World Bank Board of Executive Directors approved the </w:t>
      </w:r>
      <w:r w:rsidRPr="009142B5">
        <w:rPr>
          <w:b/>
          <w:bCs/>
        </w:rPr>
        <w:t>“</w:t>
      </w:r>
      <w:r w:rsidR="001B23DB" w:rsidRPr="009142B5">
        <w:rPr>
          <w:rFonts w:ascii="Calibri" w:hAnsi="Calibri" w:cs="Calibri"/>
          <w:b/>
          <w:bCs/>
          <w:color w:val="000000"/>
        </w:rPr>
        <w:t>Public Expenditures for Administrative Capacity Endurance</w:t>
      </w:r>
      <w:r w:rsidRPr="009142B5">
        <w:rPr>
          <w:rFonts w:ascii="Calibri" w:hAnsi="Calibri" w:cs="Calibri"/>
          <w:b/>
          <w:bCs/>
          <w:color w:val="000000"/>
        </w:rPr>
        <w:t>”</w:t>
      </w:r>
      <w:r w:rsidR="001B23DB" w:rsidRPr="009142B5">
        <w:rPr>
          <w:rFonts w:ascii="Calibri" w:hAnsi="Calibri" w:cs="Calibri"/>
          <w:b/>
          <w:bCs/>
          <w:color w:val="000000"/>
        </w:rPr>
        <w:t xml:space="preserve"> (PEACE) in Ukraine project</w:t>
      </w:r>
      <w:r w:rsidR="001B23DB" w:rsidRPr="009142B5">
        <w:rPr>
          <w:b/>
          <w:bCs/>
        </w:rPr>
        <w:t xml:space="preserve"> (P178946)</w:t>
      </w:r>
      <w:r w:rsidRPr="009142B5">
        <w:t>,</w:t>
      </w:r>
      <w:r w:rsidRPr="009142B5">
        <w:rPr>
          <w:b/>
          <w:bCs/>
        </w:rPr>
        <w:t xml:space="preserve"> </w:t>
      </w:r>
      <w:r w:rsidRPr="00BE1700">
        <w:t>which</w:t>
      </w:r>
      <w:r w:rsidR="006B239D" w:rsidRPr="00BE1700">
        <w:t xml:space="preserve"> </w:t>
      </w:r>
      <w:r w:rsidR="006B239D" w:rsidRPr="008D15C4">
        <w:rPr>
          <w:rFonts w:ascii="Calibri" w:hAnsi="Calibri" w:cs="Calibri"/>
          <w:color w:val="000000"/>
        </w:rPr>
        <w:t xml:space="preserve">supports </w:t>
      </w:r>
      <w:r w:rsidR="00DA219D">
        <w:rPr>
          <w:rFonts w:ascii="Calibri" w:hAnsi="Calibri" w:cs="Calibri"/>
          <w:color w:val="000000"/>
        </w:rPr>
        <w:t>GOU to sustain</w:t>
      </w:r>
      <w:r w:rsidR="006B239D" w:rsidRPr="008D15C4">
        <w:rPr>
          <w:rFonts w:ascii="Calibri" w:hAnsi="Calibri" w:cs="Calibri"/>
          <w:color w:val="000000"/>
        </w:rPr>
        <w:t xml:space="preserve"> </w:t>
      </w:r>
      <w:r w:rsidR="00DA219D">
        <w:rPr>
          <w:rFonts w:ascii="Calibri" w:hAnsi="Calibri" w:cs="Calibri"/>
          <w:color w:val="000000"/>
        </w:rPr>
        <w:t xml:space="preserve">its </w:t>
      </w:r>
      <w:r w:rsidR="006B239D" w:rsidRPr="008D15C4">
        <w:rPr>
          <w:rFonts w:ascii="Calibri" w:hAnsi="Calibri" w:cs="Calibri"/>
          <w:color w:val="000000"/>
        </w:rPr>
        <w:t>administrative and service delivery capacity to exercise core government functions at the national and regional levels and provide education services during the war.</w:t>
      </w:r>
    </w:p>
    <w:p w14:paraId="1A4D55BC" w14:textId="77777777" w:rsidR="005B1D04" w:rsidRPr="005B1D04" w:rsidRDefault="005B1D04" w:rsidP="00912F3B">
      <w:pPr>
        <w:pStyle w:val="ListParagraph"/>
        <w:rPr>
          <w:rFonts w:eastAsia="Times New Roman" w:cstheme="minorHAnsi"/>
          <w:spacing w:val="1"/>
        </w:rPr>
      </w:pPr>
    </w:p>
    <w:p w14:paraId="56CDB0E6" w14:textId="4468C76B" w:rsidR="00875F49" w:rsidRPr="008D15C4" w:rsidRDefault="00156321" w:rsidP="00912F3B">
      <w:pPr>
        <w:pStyle w:val="ListParagraph"/>
        <w:numPr>
          <w:ilvl w:val="0"/>
          <w:numId w:val="9"/>
        </w:numPr>
        <w:spacing w:after="120" w:line="240" w:lineRule="auto"/>
        <w:ind w:left="360"/>
        <w:rPr>
          <w:rFonts w:eastAsia="Times New Roman"/>
        </w:rPr>
      </w:pPr>
      <w:r w:rsidRPr="008D15C4">
        <w:rPr>
          <w:rFonts w:eastAsia="Times New Roman" w:cstheme="minorHAnsi"/>
          <w:spacing w:val="1"/>
        </w:rPr>
        <w:t xml:space="preserve">Ukraine’s development partners </w:t>
      </w:r>
      <w:r w:rsidR="0003012E">
        <w:rPr>
          <w:rFonts w:eastAsia="Times New Roman" w:cstheme="minorHAnsi"/>
          <w:spacing w:val="1"/>
        </w:rPr>
        <w:t>remain focused on</w:t>
      </w:r>
      <w:r w:rsidR="00792D2D" w:rsidRPr="008D15C4">
        <w:rPr>
          <w:rFonts w:eastAsia="Times New Roman" w:cstheme="minorHAnsi"/>
          <w:spacing w:val="1"/>
        </w:rPr>
        <w:t xml:space="preserve"> </w:t>
      </w:r>
      <w:r w:rsidRPr="008D15C4">
        <w:rPr>
          <w:rFonts w:eastAsia="Times New Roman" w:cstheme="minorHAnsi"/>
          <w:spacing w:val="1"/>
        </w:rPr>
        <w:t>provid</w:t>
      </w:r>
      <w:r w:rsidR="00792D2D" w:rsidRPr="008D15C4">
        <w:rPr>
          <w:rFonts w:eastAsia="Times New Roman" w:cstheme="minorHAnsi"/>
          <w:spacing w:val="1"/>
        </w:rPr>
        <w:t>ing</w:t>
      </w:r>
      <w:r w:rsidRPr="008D15C4">
        <w:rPr>
          <w:rFonts w:eastAsia="Times New Roman" w:cstheme="minorHAnsi"/>
          <w:spacing w:val="1"/>
        </w:rPr>
        <w:t xml:space="preserve"> </w:t>
      </w:r>
      <w:r w:rsidR="00792D2D" w:rsidRPr="008D15C4">
        <w:rPr>
          <w:rFonts w:eastAsia="Times New Roman" w:cstheme="minorHAnsi"/>
          <w:spacing w:val="1"/>
        </w:rPr>
        <w:t xml:space="preserve">additional </w:t>
      </w:r>
      <w:r w:rsidRPr="008D15C4">
        <w:rPr>
          <w:rFonts w:eastAsia="Times New Roman" w:cstheme="minorHAnsi"/>
          <w:spacing w:val="1"/>
        </w:rPr>
        <w:t>grant financing</w:t>
      </w:r>
      <w:r w:rsidR="00FA5917">
        <w:rPr>
          <w:rFonts w:eastAsia="Times New Roman" w:cstheme="minorHAnsi"/>
          <w:spacing w:val="1"/>
        </w:rPr>
        <w:t xml:space="preserve"> to </w:t>
      </w:r>
      <w:r w:rsidR="00A10F7C">
        <w:rPr>
          <w:rFonts w:eastAsia="Times New Roman" w:cstheme="minorHAnsi"/>
          <w:spacing w:val="1"/>
        </w:rPr>
        <w:t>support</w:t>
      </w:r>
      <w:r w:rsidR="0047457E">
        <w:rPr>
          <w:rFonts w:eastAsia="Times New Roman" w:cstheme="minorHAnsi"/>
          <w:spacing w:val="1"/>
        </w:rPr>
        <w:t xml:space="preserve"> the GoU</w:t>
      </w:r>
      <w:r w:rsidRPr="008D15C4">
        <w:rPr>
          <w:rFonts w:eastAsia="Times New Roman" w:cstheme="minorHAnsi"/>
          <w:spacing w:val="1"/>
        </w:rPr>
        <w:t xml:space="preserve">. The World Bank </w:t>
      </w:r>
      <w:r w:rsidR="007C089C" w:rsidRPr="008D15C4">
        <w:rPr>
          <w:rFonts w:eastAsia="Times New Roman" w:cstheme="minorHAnsi"/>
          <w:spacing w:val="1"/>
        </w:rPr>
        <w:t xml:space="preserve">established </w:t>
      </w:r>
      <w:r w:rsidRPr="00DD7D07">
        <w:t>Multi-Donor Trust Funds (TF073829</w:t>
      </w:r>
      <w:r w:rsidR="00577F20">
        <w:t xml:space="preserve"> and </w:t>
      </w:r>
      <w:r w:rsidR="00577F20" w:rsidRPr="00DD7D07">
        <w:t>TF073828</w:t>
      </w:r>
      <w:r w:rsidRPr="00DD7D07">
        <w:t xml:space="preserve">) </w:t>
      </w:r>
      <w:r w:rsidR="00BE1700" w:rsidRPr="00DD7D07">
        <w:t>to co-finance</w:t>
      </w:r>
      <w:r w:rsidR="007C089C" w:rsidRPr="00DD7D07">
        <w:t xml:space="preserve"> the</w:t>
      </w:r>
      <w:r w:rsidR="001B23DB" w:rsidRPr="00DD7D07">
        <w:t xml:space="preserve"> PEACE project</w:t>
      </w:r>
      <w:r w:rsidR="00BE1700" w:rsidRPr="00DD7D07">
        <w:t xml:space="preserve"> </w:t>
      </w:r>
      <w:r w:rsidR="008D15C4">
        <w:t>–</w:t>
      </w:r>
      <w:r w:rsidR="00BE1700" w:rsidRPr="00DD7D07">
        <w:t xml:space="preserve"> a</w:t>
      </w:r>
      <w:r w:rsidR="002807B7" w:rsidRPr="00DD7D07">
        <w:t xml:space="preserve"> </w:t>
      </w:r>
      <w:r w:rsidR="008A516A" w:rsidRPr="008D15C4">
        <w:rPr>
          <w:b/>
          <w:bCs/>
          <w:u w:val="single"/>
        </w:rPr>
        <w:t>rapid</w:t>
      </w:r>
      <w:r w:rsidR="008A516A" w:rsidRPr="008D15C4">
        <w:rPr>
          <w:b/>
          <w:bCs/>
        </w:rPr>
        <w:t xml:space="preserve">, </w:t>
      </w:r>
      <w:r w:rsidR="008A516A" w:rsidRPr="008D15C4">
        <w:rPr>
          <w:b/>
          <w:bCs/>
          <w:u w:val="single"/>
        </w:rPr>
        <w:t>targeted</w:t>
      </w:r>
      <w:r w:rsidR="008A516A" w:rsidRPr="008D15C4">
        <w:rPr>
          <w:b/>
          <w:bCs/>
        </w:rPr>
        <w:t xml:space="preserve"> and </w:t>
      </w:r>
      <w:r w:rsidR="008A516A" w:rsidRPr="008D15C4">
        <w:rPr>
          <w:b/>
          <w:bCs/>
          <w:u w:val="single"/>
        </w:rPr>
        <w:t>secure</w:t>
      </w:r>
      <w:r w:rsidR="008A516A" w:rsidRPr="008D15C4">
        <w:rPr>
          <w:b/>
          <w:bCs/>
        </w:rPr>
        <w:t xml:space="preserve"> mechanism</w:t>
      </w:r>
      <w:r w:rsidR="008A516A" w:rsidRPr="00DD7D07">
        <w:t xml:space="preserve"> to deliver </w:t>
      </w:r>
      <w:r w:rsidR="00384872">
        <w:t xml:space="preserve">this </w:t>
      </w:r>
    </w:p>
    <w:p w14:paraId="577613F2" w14:textId="77777777" w:rsidR="008901A9" w:rsidRPr="00BE1700" w:rsidRDefault="008901A9" w:rsidP="00912F3B">
      <w:pPr>
        <w:pStyle w:val="ListParagraph"/>
        <w:spacing w:after="120" w:line="240" w:lineRule="auto"/>
        <w:ind w:left="360"/>
        <w:rPr>
          <w:rFonts w:eastAsia="Times New Roman"/>
        </w:rPr>
      </w:pPr>
    </w:p>
    <w:p w14:paraId="7A6A8B07" w14:textId="0EDBE74A" w:rsidR="00875F49" w:rsidRPr="003D281B" w:rsidRDefault="00875F49" w:rsidP="00912F3B">
      <w:pPr>
        <w:pStyle w:val="ListParagraph"/>
        <w:numPr>
          <w:ilvl w:val="0"/>
          <w:numId w:val="26"/>
        </w:numPr>
        <w:spacing w:after="0" w:line="240" w:lineRule="auto"/>
        <w:rPr>
          <w:rFonts w:eastAsia="Times New Roman" w:cstheme="minorHAnsi"/>
        </w:rPr>
      </w:pPr>
      <w:r w:rsidRPr="006D2ACB">
        <w:rPr>
          <w:rFonts w:eastAsia="Times New Roman" w:cstheme="minorHAnsi"/>
          <w:b/>
          <w:bCs/>
          <w:u w:val="single"/>
        </w:rPr>
        <w:t>Rapid:</w:t>
      </w:r>
      <w:r w:rsidRPr="006D2ACB">
        <w:rPr>
          <w:rFonts w:eastAsia="Times New Roman" w:cstheme="minorHAnsi"/>
          <w:b/>
          <w:bCs/>
        </w:rPr>
        <w:t xml:space="preserve"> </w:t>
      </w:r>
      <w:r w:rsidR="00DD7D07">
        <w:rPr>
          <w:rFonts w:eastAsia="Times New Roman" w:cstheme="minorHAnsi"/>
          <w:b/>
          <w:bCs/>
        </w:rPr>
        <w:t>D</w:t>
      </w:r>
      <w:r w:rsidRPr="006D2ACB">
        <w:rPr>
          <w:rFonts w:eastAsia="Times New Roman" w:cstheme="minorHAnsi"/>
          <w:b/>
          <w:bCs/>
        </w:rPr>
        <w:t xml:space="preserve">onor grant funds </w:t>
      </w:r>
      <w:r w:rsidR="00DD7D07">
        <w:rPr>
          <w:rFonts w:eastAsia="Times New Roman" w:cstheme="minorHAnsi"/>
          <w:b/>
          <w:bCs/>
        </w:rPr>
        <w:t xml:space="preserve">will </w:t>
      </w:r>
      <w:r w:rsidRPr="006D2ACB">
        <w:rPr>
          <w:rFonts w:eastAsia="Times New Roman" w:cstheme="minorHAnsi"/>
          <w:b/>
          <w:bCs/>
        </w:rPr>
        <w:t xml:space="preserve">directly and </w:t>
      </w:r>
      <w:r w:rsidR="00DD7D07">
        <w:rPr>
          <w:rFonts w:eastAsia="Times New Roman" w:cstheme="minorHAnsi"/>
          <w:b/>
          <w:bCs/>
        </w:rPr>
        <w:t>quickly</w:t>
      </w:r>
      <w:r w:rsidRPr="006D2ACB">
        <w:rPr>
          <w:rFonts w:eastAsia="Times New Roman" w:cstheme="minorHAnsi"/>
          <w:b/>
          <w:bCs/>
        </w:rPr>
        <w:t xml:space="preserve"> </w:t>
      </w:r>
      <w:r w:rsidR="00DD7D07">
        <w:rPr>
          <w:rFonts w:eastAsia="Times New Roman" w:cstheme="minorHAnsi"/>
          <w:b/>
          <w:bCs/>
        </w:rPr>
        <w:t>support</w:t>
      </w:r>
      <w:r w:rsidRPr="006D2ACB">
        <w:rPr>
          <w:rFonts w:eastAsia="Times New Roman" w:cstheme="minorHAnsi"/>
          <w:b/>
          <w:bCs/>
        </w:rPr>
        <w:t xml:space="preserve"> Ukraine’s budget</w:t>
      </w:r>
      <w:r w:rsidRPr="003D281B">
        <w:rPr>
          <w:rFonts w:eastAsia="Times New Roman" w:cstheme="minorHAnsi"/>
        </w:rPr>
        <w:t>.</w:t>
      </w:r>
      <w:r w:rsidR="00FA025A">
        <w:rPr>
          <w:rFonts w:eastAsia="Times New Roman" w:cstheme="minorHAnsi"/>
        </w:rPr>
        <w:t xml:space="preserve"> T</w:t>
      </w:r>
      <w:r>
        <w:rPr>
          <w:rFonts w:eastAsia="Times New Roman" w:cstheme="minorHAnsi"/>
        </w:rPr>
        <w:t xml:space="preserve">he MDTFs simplify the process for Ukraine of receiving funds by channeling multiple donors’ support under the </w:t>
      </w:r>
      <w:r w:rsidR="001A4EE0">
        <w:rPr>
          <w:rFonts w:eastAsia="Times New Roman" w:cstheme="minorHAnsi"/>
        </w:rPr>
        <w:t>PEACE project’s</w:t>
      </w:r>
      <w:r>
        <w:rPr>
          <w:rFonts w:eastAsia="Times New Roman" w:cstheme="minorHAnsi"/>
        </w:rPr>
        <w:t xml:space="preserve"> established operational arrangements – reducing transaction costs.</w:t>
      </w:r>
    </w:p>
    <w:p w14:paraId="64649329" w14:textId="28492B24" w:rsidR="00875F49" w:rsidRPr="003D281B" w:rsidRDefault="00875F49" w:rsidP="00912F3B">
      <w:pPr>
        <w:pStyle w:val="ListParagraph"/>
        <w:numPr>
          <w:ilvl w:val="0"/>
          <w:numId w:val="26"/>
        </w:numPr>
        <w:spacing w:after="0" w:line="240" w:lineRule="auto"/>
        <w:rPr>
          <w:rFonts w:eastAsia="Times New Roman" w:cstheme="minorHAnsi"/>
        </w:rPr>
      </w:pPr>
      <w:r w:rsidRPr="006D2ACB">
        <w:rPr>
          <w:rFonts w:eastAsia="Times New Roman" w:cstheme="minorHAnsi"/>
          <w:b/>
          <w:bCs/>
          <w:u w:val="single"/>
        </w:rPr>
        <w:t>Targeted:</w:t>
      </w:r>
      <w:r w:rsidRPr="006D2ACB">
        <w:rPr>
          <w:rFonts w:eastAsia="Times New Roman" w:cstheme="minorHAnsi"/>
          <w:b/>
          <w:bCs/>
        </w:rPr>
        <w:t xml:space="preserve"> The funds</w:t>
      </w:r>
      <w:r w:rsidR="00A86D0F">
        <w:rPr>
          <w:rFonts w:eastAsia="Times New Roman" w:cstheme="minorHAnsi"/>
          <w:b/>
          <w:bCs/>
        </w:rPr>
        <w:t xml:space="preserve"> will support</w:t>
      </w:r>
      <w:r w:rsidR="00475E8E">
        <w:rPr>
          <w:rFonts w:eastAsia="Times New Roman" w:cstheme="minorHAnsi"/>
          <w:b/>
          <w:bCs/>
        </w:rPr>
        <w:t xml:space="preserve"> only</w:t>
      </w:r>
      <w:r w:rsidRPr="006D2ACB">
        <w:rPr>
          <w:rFonts w:eastAsia="Times New Roman" w:cstheme="minorHAnsi"/>
          <w:b/>
          <w:bCs/>
        </w:rPr>
        <w:t xml:space="preserve"> eligible budgetary expenditures</w:t>
      </w:r>
      <w:r w:rsidR="00475E8E">
        <w:rPr>
          <w:rFonts w:eastAsia="Times New Roman" w:cstheme="minorHAnsi"/>
        </w:rPr>
        <w:t xml:space="preserve"> under the project.</w:t>
      </w:r>
    </w:p>
    <w:p w14:paraId="016E8369" w14:textId="299A2F3A" w:rsidR="00875F49" w:rsidRPr="003D281B" w:rsidRDefault="00875F49" w:rsidP="00912F3B">
      <w:pPr>
        <w:pStyle w:val="ListParagraph"/>
        <w:numPr>
          <w:ilvl w:val="0"/>
          <w:numId w:val="26"/>
        </w:numPr>
        <w:spacing w:after="120" w:line="240" w:lineRule="auto"/>
        <w:contextualSpacing w:val="0"/>
        <w:rPr>
          <w:rFonts w:eastAsia="Times New Roman" w:cstheme="minorHAnsi"/>
        </w:rPr>
      </w:pPr>
      <w:r w:rsidRPr="006D2ACB">
        <w:rPr>
          <w:rFonts w:eastAsia="Times New Roman" w:cstheme="minorHAnsi"/>
          <w:b/>
          <w:bCs/>
          <w:spacing w:val="1"/>
          <w:u w:val="single"/>
        </w:rPr>
        <w:t>Secure:</w:t>
      </w:r>
      <w:r w:rsidRPr="006D2ACB">
        <w:rPr>
          <w:rFonts w:eastAsia="Times New Roman" w:cstheme="minorHAnsi"/>
          <w:b/>
          <w:bCs/>
          <w:spacing w:val="1"/>
        </w:rPr>
        <w:t xml:space="preserve"> The World Bank manages the flow of funds and supervises the grants from th</w:t>
      </w:r>
      <w:r w:rsidR="00697E29">
        <w:rPr>
          <w:rFonts w:eastAsia="Times New Roman" w:cstheme="minorHAnsi"/>
          <w:b/>
          <w:bCs/>
          <w:spacing w:val="1"/>
        </w:rPr>
        <w:t xml:space="preserve">ese </w:t>
      </w:r>
      <w:r w:rsidRPr="006D2ACB">
        <w:rPr>
          <w:rFonts w:eastAsia="Times New Roman" w:cstheme="minorHAnsi"/>
          <w:b/>
          <w:bCs/>
          <w:spacing w:val="1"/>
        </w:rPr>
        <w:t>MDTF</w:t>
      </w:r>
      <w:r w:rsidR="00697E29">
        <w:rPr>
          <w:rFonts w:eastAsia="Times New Roman" w:cstheme="minorHAnsi"/>
          <w:b/>
          <w:bCs/>
          <w:spacing w:val="1"/>
        </w:rPr>
        <w:t>s</w:t>
      </w:r>
      <w:r w:rsidRPr="006D2ACB">
        <w:rPr>
          <w:rFonts w:eastAsia="Times New Roman" w:cstheme="minorHAnsi"/>
          <w:b/>
          <w:bCs/>
          <w:spacing w:val="1"/>
        </w:rPr>
        <w:t xml:space="preserve"> under the stringent requirements of World Bank operations</w:t>
      </w:r>
      <w:r w:rsidRPr="003D281B">
        <w:rPr>
          <w:rFonts w:eastAsia="Times New Roman" w:cstheme="minorHAnsi"/>
          <w:spacing w:val="1"/>
        </w:rPr>
        <w:t>, ensuring financial security of the funds.</w:t>
      </w:r>
    </w:p>
    <w:p w14:paraId="7D3BE3DF" w14:textId="77777777" w:rsidR="009B4407" w:rsidRDefault="009B4407" w:rsidP="00912F3B">
      <w:pPr>
        <w:pStyle w:val="ListParagraph"/>
        <w:numPr>
          <w:ilvl w:val="0"/>
          <w:numId w:val="9"/>
        </w:numPr>
        <w:spacing w:after="0" w:line="240" w:lineRule="auto"/>
        <w:ind w:left="360" w:right="90"/>
      </w:pPr>
      <w:r w:rsidRPr="009B4407">
        <w:rPr>
          <w:b/>
          <w:bCs/>
          <w:u w:val="single"/>
        </w:rPr>
        <w:t>Current Status</w:t>
      </w:r>
      <w:r>
        <w:t>:</w:t>
      </w:r>
    </w:p>
    <w:p w14:paraId="18257E38" w14:textId="436BB6BF" w:rsidR="00157F1D" w:rsidRPr="00571BE1" w:rsidRDefault="00B4021A" w:rsidP="00912F3B">
      <w:pPr>
        <w:pStyle w:val="ListParagraph"/>
        <w:numPr>
          <w:ilvl w:val="0"/>
          <w:numId w:val="26"/>
        </w:numPr>
        <w:spacing w:after="0" w:line="240" w:lineRule="auto"/>
        <w:rPr>
          <w:rStyle w:val="normaltextrun"/>
        </w:rPr>
      </w:pPr>
      <w:r w:rsidRPr="008901A9">
        <w:t>Administration Agreement</w:t>
      </w:r>
      <w:r>
        <w:t>s</w:t>
      </w:r>
      <w:r w:rsidRPr="008901A9">
        <w:t xml:space="preserve"> (AA) </w:t>
      </w:r>
      <w:r>
        <w:t>have been signed with</w:t>
      </w:r>
      <w:r w:rsidR="009E482A" w:rsidRPr="008901A9">
        <w:t xml:space="preserve"> USAID (US)</w:t>
      </w:r>
      <w:r w:rsidR="00F10FB3">
        <w:t xml:space="preserve"> and</w:t>
      </w:r>
      <w:r>
        <w:t xml:space="preserve"> </w:t>
      </w:r>
      <w:r w:rsidR="00DD1D9C" w:rsidRPr="008901A9">
        <w:t>SECO (Switzerland)</w:t>
      </w:r>
      <w:r w:rsidR="00CD32E2">
        <w:t>.</w:t>
      </w:r>
    </w:p>
    <w:p w14:paraId="07BC8D7A" w14:textId="729433D0" w:rsidR="00571BE1" w:rsidRDefault="00F10FB3" w:rsidP="00912F3B">
      <w:pPr>
        <w:pStyle w:val="ListParagraph"/>
        <w:numPr>
          <w:ilvl w:val="0"/>
          <w:numId w:val="26"/>
        </w:numPr>
        <w:spacing w:after="0" w:line="240" w:lineRule="auto"/>
      </w:pPr>
      <w:r>
        <w:t xml:space="preserve">To date, </w:t>
      </w:r>
      <w:r w:rsidR="00571BE1" w:rsidRPr="008901A9">
        <w:t xml:space="preserve">USD 1.3 billion </w:t>
      </w:r>
      <w:r>
        <w:t>has been</w:t>
      </w:r>
      <w:r w:rsidR="00571BE1" w:rsidRPr="008901A9">
        <w:t xml:space="preserve"> disbursed to </w:t>
      </w:r>
      <w:r w:rsidR="00571BE1">
        <w:t>GoU</w:t>
      </w:r>
      <w:r w:rsidR="00CD32E2">
        <w:t xml:space="preserve"> through the PEACE IPF.</w:t>
      </w:r>
    </w:p>
    <w:p w14:paraId="09E0A3F2" w14:textId="77777777" w:rsidR="00ED4083" w:rsidRPr="002A054D" w:rsidRDefault="00ED4083" w:rsidP="00912F3B">
      <w:pPr>
        <w:pStyle w:val="ListParagraph"/>
        <w:spacing w:after="0" w:line="240" w:lineRule="auto"/>
        <w:ind w:left="360" w:right="90"/>
        <w:contextualSpacing w:val="0"/>
      </w:pPr>
    </w:p>
    <w:p w14:paraId="5F9962EA" w14:textId="77777777" w:rsidR="00152A1F" w:rsidRDefault="00152A1F" w:rsidP="00912F3B">
      <w:pPr>
        <w:rPr>
          <w:rFonts w:asciiTheme="majorHAnsi" w:eastAsiaTheme="majorEastAsia" w:hAnsiTheme="majorHAnsi" w:cstheme="majorBidi"/>
          <w:b/>
          <w:bCs/>
          <w:color w:val="2F5496" w:themeColor="accent1" w:themeShade="BF"/>
          <w:sz w:val="26"/>
          <w:szCs w:val="26"/>
          <w:u w:val="single"/>
        </w:rPr>
      </w:pPr>
      <w:r>
        <w:rPr>
          <w:b/>
          <w:bCs/>
          <w:u w:val="single"/>
        </w:rPr>
        <w:br w:type="page"/>
      </w:r>
    </w:p>
    <w:p w14:paraId="1808481E" w14:textId="164E943B" w:rsidR="001F7724" w:rsidRPr="00B638DC" w:rsidRDefault="00475B7F" w:rsidP="00912F3B">
      <w:pPr>
        <w:pStyle w:val="Heading2"/>
        <w:numPr>
          <w:ilvl w:val="0"/>
          <w:numId w:val="15"/>
        </w:numPr>
        <w:rPr>
          <w:b/>
          <w:bCs/>
          <w:u w:val="single"/>
        </w:rPr>
      </w:pPr>
      <w:r w:rsidRPr="00B638DC">
        <w:rPr>
          <w:b/>
          <w:bCs/>
          <w:u w:val="single"/>
        </w:rPr>
        <w:lastRenderedPageBreak/>
        <w:t>Operating Model</w:t>
      </w:r>
    </w:p>
    <w:p w14:paraId="71C796ED" w14:textId="1A00D0E7" w:rsidR="00640265" w:rsidRPr="00B638DC" w:rsidRDefault="00640265" w:rsidP="00912F3B">
      <w:pPr>
        <w:pStyle w:val="Heading3"/>
        <w:numPr>
          <w:ilvl w:val="1"/>
          <w:numId w:val="15"/>
        </w:numPr>
        <w:rPr>
          <w:b/>
          <w:bCs/>
          <w:u w:val="single"/>
        </w:rPr>
      </w:pPr>
      <w:r w:rsidRPr="00B638DC">
        <w:rPr>
          <w:b/>
          <w:bCs/>
          <w:u w:val="single"/>
        </w:rPr>
        <w:t>Objective</w:t>
      </w:r>
    </w:p>
    <w:p w14:paraId="08AE447B" w14:textId="46B5596D" w:rsidR="000208AF" w:rsidRDefault="00475B7F" w:rsidP="00912F3B">
      <w:pPr>
        <w:rPr>
          <w:rFonts w:eastAsia="Times New Roman"/>
        </w:rPr>
      </w:pPr>
      <w:r w:rsidRPr="003E3D61">
        <w:rPr>
          <w:b/>
          <w:bCs/>
        </w:rPr>
        <w:t xml:space="preserve">The objective of the </w:t>
      </w:r>
      <w:r w:rsidR="007C5E49">
        <w:rPr>
          <w:b/>
          <w:bCs/>
        </w:rPr>
        <w:t xml:space="preserve">Multi-Donor </w:t>
      </w:r>
      <w:r w:rsidRPr="003E3D61">
        <w:rPr>
          <w:b/>
          <w:bCs/>
        </w:rPr>
        <w:t>Trust Fund</w:t>
      </w:r>
      <w:r w:rsidR="00756C60">
        <w:rPr>
          <w:b/>
          <w:bCs/>
        </w:rPr>
        <w:t xml:space="preserve"> (MDTF)</w:t>
      </w:r>
      <w:r w:rsidRPr="003E3D61">
        <w:rPr>
          <w:b/>
          <w:bCs/>
        </w:rPr>
        <w:t xml:space="preserve"> is to co-finance the </w:t>
      </w:r>
      <w:r w:rsidR="00DE5E9D">
        <w:rPr>
          <w:b/>
          <w:bCs/>
        </w:rPr>
        <w:t>Pub</w:t>
      </w:r>
      <w:r w:rsidR="00DE5E9D" w:rsidRPr="00DE5E9D">
        <w:rPr>
          <w:b/>
          <w:bCs/>
        </w:rPr>
        <w:t>lic Expenditures for Administrative Capacity Endurance (PEACE) in Ukraine project</w:t>
      </w:r>
      <w:r w:rsidR="00750B67">
        <w:rPr>
          <w:b/>
          <w:bCs/>
        </w:rPr>
        <w:t xml:space="preserve"> </w:t>
      </w:r>
      <w:r w:rsidR="00750B67" w:rsidRPr="009142B5">
        <w:rPr>
          <w:b/>
          <w:bCs/>
        </w:rPr>
        <w:t>(P178946)</w:t>
      </w:r>
      <w:r w:rsidRPr="003E3D61">
        <w:rPr>
          <w:b/>
          <w:bCs/>
        </w:rPr>
        <w:t>, through Recipient-executed trust fund (RETF) grants.</w:t>
      </w:r>
      <w:r w:rsidR="003F0E7F">
        <w:rPr>
          <w:b/>
          <w:bCs/>
        </w:rPr>
        <w:t xml:space="preserve"> </w:t>
      </w:r>
      <w:r w:rsidR="000208AF">
        <w:rPr>
          <w:rFonts w:eastAsia="Times New Roman"/>
        </w:rPr>
        <w:t>The PEACE in Ukraine project is an emergency operation focused on supporting the Government to maintain core government functions by financing eligible government staff salaries in non-security sectors and schools’ staff during March-November 2022.</w:t>
      </w:r>
    </w:p>
    <w:p w14:paraId="159A624A" w14:textId="61303292" w:rsidR="00115744" w:rsidRDefault="00115744" w:rsidP="00912F3B">
      <w:pPr>
        <w:pStyle w:val="ListParagraph"/>
        <w:numPr>
          <w:ilvl w:val="0"/>
          <w:numId w:val="23"/>
        </w:numPr>
      </w:pPr>
      <w:r w:rsidRPr="00912F3B">
        <w:rPr>
          <w:b/>
          <w:bCs/>
        </w:rPr>
        <w:t>PEACE IPF overall project documentation</w:t>
      </w:r>
      <w:r>
        <w:t xml:space="preserve">: </w:t>
      </w:r>
      <w:hyperlink r:id="rId8" w:history="1">
        <w:r>
          <w:rPr>
            <w:rStyle w:val="Hyperlink"/>
          </w:rPr>
          <w:t>https://projects.worldbank.org/en/projects-operations/document-detail/P178946?type=projects</w:t>
        </w:r>
      </w:hyperlink>
    </w:p>
    <w:p w14:paraId="5EB976A4" w14:textId="20B9DAEB" w:rsidR="00115744" w:rsidRDefault="00115744" w:rsidP="00912F3B">
      <w:pPr>
        <w:pStyle w:val="ListParagraph"/>
        <w:numPr>
          <w:ilvl w:val="0"/>
          <w:numId w:val="23"/>
        </w:numPr>
      </w:pPr>
      <w:r w:rsidRPr="00912F3B">
        <w:rPr>
          <w:b/>
          <w:bCs/>
        </w:rPr>
        <w:t>Grant Agreement signed with GoU</w:t>
      </w:r>
      <w:r>
        <w:t xml:space="preserve"> (June 29): </w:t>
      </w:r>
      <w:hyperlink r:id="rId9">
        <w:r w:rsidRPr="2CBBAE1D">
          <w:rPr>
            <w:rStyle w:val="Hyperlink"/>
          </w:rPr>
          <w:t>https://documents.worldbank.org/en/publication/documents-reports/documentdetail/099845006292218072/p17894606066740da0bbe7027b4eb89ce1a</w:t>
        </w:r>
      </w:hyperlink>
    </w:p>
    <w:p w14:paraId="48A4F339" w14:textId="170BFC14" w:rsidR="00640265" w:rsidRPr="00B638DC" w:rsidRDefault="00AB2FB9" w:rsidP="00912F3B">
      <w:pPr>
        <w:pStyle w:val="Heading3"/>
        <w:numPr>
          <w:ilvl w:val="1"/>
          <w:numId w:val="15"/>
        </w:numPr>
        <w:rPr>
          <w:b/>
          <w:bCs/>
          <w:u w:val="single"/>
        </w:rPr>
      </w:pPr>
      <w:r w:rsidRPr="00B638DC">
        <w:rPr>
          <w:b/>
          <w:bCs/>
          <w:u w:val="single"/>
        </w:rPr>
        <w:t xml:space="preserve">Operating </w:t>
      </w:r>
      <w:r w:rsidR="00BB74D9" w:rsidRPr="00B638DC">
        <w:rPr>
          <w:b/>
          <w:bCs/>
          <w:u w:val="single"/>
        </w:rPr>
        <w:t xml:space="preserve">and Financing </w:t>
      </w:r>
      <w:r w:rsidRPr="00B638DC">
        <w:rPr>
          <w:b/>
          <w:bCs/>
          <w:u w:val="single"/>
        </w:rPr>
        <w:t>Model</w:t>
      </w:r>
      <w:r w:rsidR="00AB16DD">
        <w:rPr>
          <w:b/>
          <w:bCs/>
          <w:u w:val="single"/>
        </w:rPr>
        <w:t xml:space="preserve">, First Grant, and </w:t>
      </w:r>
      <w:r w:rsidR="00BB74D9" w:rsidRPr="00B638DC">
        <w:rPr>
          <w:b/>
          <w:bCs/>
          <w:u w:val="single"/>
        </w:rPr>
        <w:t>Key Dates</w:t>
      </w:r>
    </w:p>
    <w:p w14:paraId="699A76F5" w14:textId="319B623C" w:rsidR="00F25791" w:rsidRDefault="00475B7F" w:rsidP="00912F3B">
      <w:pPr>
        <w:rPr>
          <w:rFonts w:eastAsia="Times New Roman"/>
        </w:rPr>
      </w:pPr>
      <w:r w:rsidRPr="002E0863">
        <w:rPr>
          <w:b/>
          <w:bCs/>
        </w:rPr>
        <w:t>The MDTF is processing Administration Agreements (AAs) for donor contributions.</w:t>
      </w:r>
      <w:r w:rsidRPr="000D367A">
        <w:t xml:space="preserve"> </w:t>
      </w:r>
      <w:r w:rsidR="009E19DC">
        <w:t xml:space="preserve">The MDTF is held and </w:t>
      </w:r>
      <w:r w:rsidR="0061051D">
        <w:t xml:space="preserve">operated in US dollars (USD). </w:t>
      </w:r>
      <w:r w:rsidRPr="000D367A">
        <w:t xml:space="preserve">Under the </w:t>
      </w:r>
      <w:r w:rsidR="000B7B39">
        <w:t>PEACE project</w:t>
      </w:r>
      <w:r w:rsidRPr="000D367A">
        <w:t xml:space="preserve">, the MDTF </w:t>
      </w:r>
      <w:r w:rsidR="00191FC7">
        <w:t>commits funds by</w:t>
      </w:r>
      <w:r w:rsidRPr="000D367A">
        <w:t xml:space="preserve"> RETF grant to Ukraine</w:t>
      </w:r>
      <w:r w:rsidR="00B26300">
        <w:t xml:space="preserve">. </w:t>
      </w:r>
      <w:r w:rsidR="00950876">
        <w:t>T</w:t>
      </w:r>
      <w:r w:rsidR="00B26300">
        <w:t xml:space="preserve">he World Bank </w:t>
      </w:r>
      <w:r w:rsidR="00950876">
        <w:t>and Ukraine have</w:t>
      </w:r>
      <w:r w:rsidR="00903B02">
        <w:t xml:space="preserve"> </w:t>
      </w:r>
      <w:r w:rsidR="0053118C">
        <w:t>signed a</w:t>
      </w:r>
      <w:r w:rsidR="00D202B6">
        <w:t xml:space="preserve"> Grant Agreement</w:t>
      </w:r>
      <w:r w:rsidR="000747F0">
        <w:t xml:space="preserve"> under the PEACE project</w:t>
      </w:r>
      <w:r w:rsidR="0031159D">
        <w:t>,</w:t>
      </w:r>
      <w:r w:rsidR="006546CE">
        <w:t xml:space="preserve"> and the MDTF has now</w:t>
      </w:r>
      <w:r w:rsidR="0031159D">
        <w:t xml:space="preserve"> d</w:t>
      </w:r>
      <w:r w:rsidR="00950876">
        <w:t>isburs</w:t>
      </w:r>
      <w:r w:rsidR="006546CE">
        <w:t>ed</w:t>
      </w:r>
      <w:r w:rsidR="00950876">
        <w:t xml:space="preserve"> </w:t>
      </w:r>
      <w:r w:rsidR="0031159D">
        <w:t xml:space="preserve">a total of </w:t>
      </w:r>
      <w:r w:rsidR="00EE58CD">
        <w:t>USD 1.3</w:t>
      </w:r>
      <w:r w:rsidR="007E1676" w:rsidRPr="007E1676">
        <w:t xml:space="preserve"> </w:t>
      </w:r>
      <w:r w:rsidR="00EE58CD">
        <w:t>b</w:t>
      </w:r>
      <w:r w:rsidR="007E1676" w:rsidRPr="007E1676">
        <w:t>illion</w:t>
      </w:r>
      <w:r w:rsidR="00CE2452">
        <w:t xml:space="preserve"> to </w:t>
      </w:r>
      <w:r w:rsidR="007E1676" w:rsidRPr="007E1676">
        <w:t>Ukraine</w:t>
      </w:r>
      <w:r w:rsidR="00AB16DD">
        <w:t xml:space="preserve">. The </w:t>
      </w:r>
      <w:r w:rsidR="00AB16DD" w:rsidRPr="000747F0">
        <w:t>Grant Agreement</w:t>
      </w:r>
      <w:r w:rsidR="007E1676" w:rsidRPr="000747F0">
        <w:t xml:space="preserve"> follow</w:t>
      </w:r>
      <w:r w:rsidR="00AB16DD" w:rsidRPr="000747F0">
        <w:t>s</w:t>
      </w:r>
      <w:r w:rsidR="007E1676" w:rsidRPr="000747F0">
        <w:t xml:space="preserve"> the terms of the </w:t>
      </w:r>
      <w:r w:rsidR="00266207" w:rsidRPr="000747F0">
        <w:t>PEACE</w:t>
      </w:r>
      <w:r w:rsidR="00F66884" w:rsidRPr="000747F0">
        <w:t xml:space="preserve"> project</w:t>
      </w:r>
      <w:r w:rsidR="007E1676" w:rsidRPr="000747F0">
        <w:t xml:space="preserve"> (P178</w:t>
      </w:r>
      <w:r w:rsidR="00F66884" w:rsidRPr="000747F0">
        <w:t>946</w:t>
      </w:r>
      <w:r w:rsidR="007E1676" w:rsidRPr="000747F0">
        <w:t>) and commitments to MDTF donors</w:t>
      </w:r>
      <w:r w:rsidR="007E1676" w:rsidRPr="007E1676">
        <w:t>.</w:t>
      </w:r>
      <w:r w:rsidR="000D367A">
        <w:t xml:space="preserve"> </w:t>
      </w:r>
      <w:r w:rsidR="00AB16DD">
        <w:t>F</w:t>
      </w:r>
      <w:r w:rsidRPr="000D367A">
        <w:t>urther grant</w:t>
      </w:r>
      <w:r w:rsidR="00F049A6">
        <w:t>s</w:t>
      </w:r>
      <w:r w:rsidRPr="000D367A">
        <w:t xml:space="preserve"> </w:t>
      </w:r>
      <w:r w:rsidR="00AB16DD">
        <w:t xml:space="preserve">will be processed </w:t>
      </w:r>
      <w:r w:rsidRPr="000D367A">
        <w:t xml:space="preserve">on a rolling basis, </w:t>
      </w:r>
      <w:r w:rsidR="00150BE9">
        <w:t>based on new donor contributions</w:t>
      </w:r>
      <w:r w:rsidR="00E12930">
        <w:t xml:space="preserve"> and</w:t>
      </w:r>
      <w:r w:rsidR="00150BE9">
        <w:t xml:space="preserve"> </w:t>
      </w:r>
      <w:r w:rsidR="00150BE9" w:rsidRPr="00215C87">
        <w:t xml:space="preserve">Ukraine’s </w:t>
      </w:r>
      <w:r w:rsidR="00150BE9">
        <w:t>preference for consolidating grants efficiently to reduce transaction costs</w:t>
      </w:r>
      <w:r w:rsidR="00F25791">
        <w:rPr>
          <w:rFonts w:eastAsia="Times New Roman"/>
        </w:rPr>
        <w:t>, with grants made in line with the operation’s monthly disbursement schedule – subject to the availability of funds in the MDTF and the Bank’s verification of sufficient eligible expenses against which to disburse.</w:t>
      </w:r>
    </w:p>
    <w:p w14:paraId="5C2983A6" w14:textId="2C7C07BC" w:rsidR="00103CEA" w:rsidRPr="00B638DC" w:rsidRDefault="00BD3D07" w:rsidP="00912F3B">
      <w:pPr>
        <w:pStyle w:val="Heading3"/>
        <w:numPr>
          <w:ilvl w:val="1"/>
          <w:numId w:val="15"/>
        </w:numPr>
        <w:rPr>
          <w:b/>
          <w:bCs/>
          <w:u w:val="single"/>
        </w:rPr>
      </w:pPr>
      <w:r w:rsidRPr="00B638DC">
        <w:rPr>
          <w:b/>
          <w:bCs/>
          <w:u w:val="single"/>
        </w:rPr>
        <w:t>P</w:t>
      </w:r>
      <w:r w:rsidR="001A56E9" w:rsidRPr="00B638DC">
        <w:rPr>
          <w:b/>
          <w:bCs/>
          <w:u w:val="single"/>
        </w:rPr>
        <w:t xml:space="preserve">rocess </w:t>
      </w:r>
      <w:r w:rsidRPr="00B638DC">
        <w:rPr>
          <w:b/>
          <w:bCs/>
          <w:u w:val="single"/>
        </w:rPr>
        <w:t>F</w:t>
      </w:r>
      <w:r w:rsidR="001A56E9" w:rsidRPr="00B638DC">
        <w:rPr>
          <w:b/>
          <w:bCs/>
          <w:u w:val="single"/>
        </w:rPr>
        <w:t>low</w:t>
      </w:r>
      <w:r w:rsidRPr="00B638DC">
        <w:rPr>
          <w:b/>
          <w:bCs/>
          <w:u w:val="single"/>
        </w:rPr>
        <w:t xml:space="preserve"> for Donor Contributions:</w:t>
      </w:r>
      <w:r w:rsidR="001A56E9" w:rsidRPr="00B638DC">
        <w:rPr>
          <w:b/>
          <w:bCs/>
          <w:u w:val="single"/>
        </w:rPr>
        <w:t xml:space="preserve"> from Pledge to </w:t>
      </w:r>
      <w:r w:rsidR="00CF1BE3" w:rsidRPr="00B638DC">
        <w:rPr>
          <w:b/>
          <w:bCs/>
          <w:u w:val="single"/>
        </w:rPr>
        <w:t>Call</w:t>
      </w:r>
      <w:r w:rsidRPr="00B638DC">
        <w:rPr>
          <w:b/>
          <w:bCs/>
          <w:u w:val="single"/>
        </w:rPr>
        <w:t xml:space="preserve"> of Funds (COF)</w:t>
      </w:r>
    </w:p>
    <w:p w14:paraId="0ACD0CC0" w14:textId="76C3C9FA" w:rsidR="00103CEA" w:rsidRDefault="00631364" w:rsidP="00912F3B">
      <w:r w:rsidRPr="00B77790">
        <w:rPr>
          <w:b/>
          <w:bCs/>
          <w:i/>
          <w:iCs/>
        </w:rPr>
        <w:t>K</w:t>
      </w:r>
      <w:r w:rsidR="00994BF9" w:rsidRPr="00B77790">
        <w:rPr>
          <w:b/>
          <w:bCs/>
          <w:i/>
          <w:iCs/>
        </w:rPr>
        <w:t>ey steps</w:t>
      </w:r>
      <w:r w:rsidR="00650138">
        <w:t xml:space="preserve">: </w:t>
      </w:r>
      <w:r w:rsidR="0036586F">
        <w:t>p</w:t>
      </w:r>
      <w:r w:rsidR="00103CEA">
        <w:t>ledge, contribution</w:t>
      </w:r>
      <w:r w:rsidR="00994BF9">
        <w:t>/AA</w:t>
      </w:r>
      <w:r w:rsidR="00103CEA">
        <w:t xml:space="preserve">, </w:t>
      </w:r>
      <w:r w:rsidR="0083244F">
        <w:t xml:space="preserve">and </w:t>
      </w:r>
      <w:r w:rsidR="00103CEA">
        <w:t>call of funds</w:t>
      </w:r>
      <w:r w:rsidR="0083244F">
        <w:t xml:space="preserve"> (COF)</w:t>
      </w:r>
    </w:p>
    <w:p w14:paraId="47E016A9" w14:textId="14B23D21" w:rsidR="004D2A1B" w:rsidRDefault="004D2A1B" w:rsidP="00912F3B">
      <w:pPr>
        <w:pStyle w:val="ListParagraph"/>
        <w:numPr>
          <w:ilvl w:val="0"/>
          <w:numId w:val="3"/>
        </w:numPr>
      </w:pPr>
      <w:r w:rsidRPr="004D2A1B">
        <w:rPr>
          <w:b/>
          <w:bCs/>
        </w:rPr>
        <w:t>Pledge</w:t>
      </w:r>
      <w:r>
        <w:t xml:space="preserve">: </w:t>
      </w:r>
      <w:r w:rsidR="009F7458">
        <w:t>A pledge is a statement by a Donor Government of its intention to contribut</w:t>
      </w:r>
      <w:r w:rsidR="00692674">
        <w:t>e</w:t>
      </w:r>
      <w:r w:rsidR="00BE342A">
        <w:t xml:space="preserve"> to the MDTF</w:t>
      </w:r>
      <w:r w:rsidR="009F7458">
        <w:t>.</w:t>
      </w:r>
    </w:p>
    <w:p w14:paraId="58B1C1E5" w14:textId="372BFCF6" w:rsidR="00D00C32" w:rsidRDefault="004D2A1B" w:rsidP="00912F3B">
      <w:pPr>
        <w:pStyle w:val="ListParagraph"/>
        <w:numPr>
          <w:ilvl w:val="0"/>
          <w:numId w:val="3"/>
        </w:numPr>
      </w:pPr>
      <w:r>
        <w:rPr>
          <w:b/>
          <w:bCs/>
        </w:rPr>
        <w:t>Contribution / Administration Agreement (AA)</w:t>
      </w:r>
      <w:r w:rsidR="009F7458">
        <w:rPr>
          <w:b/>
          <w:bCs/>
        </w:rPr>
        <w:t xml:space="preserve">: </w:t>
      </w:r>
      <w:r w:rsidR="009F7458">
        <w:t xml:space="preserve">A pledge becomes </w:t>
      </w:r>
      <w:r w:rsidR="00292300">
        <w:t xml:space="preserve">a contribution on signing of an AA, which </w:t>
      </w:r>
      <w:r w:rsidR="00212A37">
        <w:t xml:space="preserve">sets the terms under which the World Bank will </w:t>
      </w:r>
      <w:r w:rsidR="00EB43B1">
        <w:t>manage the donors’ funds</w:t>
      </w:r>
      <w:r w:rsidR="00292300">
        <w:t>.</w:t>
      </w:r>
    </w:p>
    <w:p w14:paraId="37C15B98" w14:textId="3C04A968" w:rsidR="00D00C32" w:rsidRDefault="009D39EC" w:rsidP="00912F3B">
      <w:pPr>
        <w:pStyle w:val="ListParagraph"/>
        <w:numPr>
          <w:ilvl w:val="1"/>
          <w:numId w:val="3"/>
        </w:numPr>
      </w:pPr>
      <w:r>
        <w:t>The MDTF draws on the Bank’s standard AA template</w:t>
      </w:r>
      <w:r w:rsidR="00895B74">
        <w:t xml:space="preserve">, which is </w:t>
      </w:r>
      <w:r w:rsidR="002C56E4" w:rsidRPr="002C56E4">
        <w:t>used across the entire IBRD/IDA portfolio and applies to all donors.</w:t>
      </w:r>
    </w:p>
    <w:p w14:paraId="2AEEF7C1" w14:textId="69DB9AB5" w:rsidR="00D00C32" w:rsidRDefault="00D00C32" w:rsidP="00912F3B">
      <w:pPr>
        <w:pStyle w:val="ListParagraph"/>
        <w:numPr>
          <w:ilvl w:val="1"/>
          <w:numId w:val="3"/>
        </w:numPr>
      </w:pPr>
      <w:r>
        <w:t xml:space="preserve">The AA </w:t>
      </w:r>
      <w:r w:rsidR="0026028D">
        <w:t xml:space="preserve">for this MDTF </w:t>
      </w:r>
      <w:r w:rsidR="00BE342A">
        <w:t xml:space="preserve">can be structured around </w:t>
      </w:r>
      <w:r w:rsidR="00243F9E">
        <w:t xml:space="preserve">a one-time </w:t>
      </w:r>
      <w:r w:rsidR="00BE342A">
        <w:t xml:space="preserve">Call of </w:t>
      </w:r>
      <w:r w:rsidR="00EE02B7">
        <w:t>Funds (COF)</w:t>
      </w:r>
      <w:r w:rsidR="00243F9E">
        <w:t xml:space="preserve">, but multiple tranches </w:t>
      </w:r>
      <w:r w:rsidR="0026028D">
        <w:t>can also be developed in the transfer</w:t>
      </w:r>
      <w:r w:rsidR="005F3A87">
        <w:t xml:space="preserve"> schedule, as needed.</w:t>
      </w:r>
    </w:p>
    <w:p w14:paraId="396FBBC1" w14:textId="69BEBA50" w:rsidR="004D2A1B" w:rsidRPr="004D2A1B" w:rsidRDefault="00D00C32" w:rsidP="00912F3B">
      <w:pPr>
        <w:pStyle w:val="ListParagraph"/>
        <w:numPr>
          <w:ilvl w:val="1"/>
          <w:numId w:val="3"/>
        </w:numPr>
      </w:pPr>
      <w:r>
        <w:t>The AA</w:t>
      </w:r>
      <w:r w:rsidR="0026028D">
        <w:t xml:space="preserve"> for this MDTF </w:t>
      </w:r>
      <w:r>
        <w:t xml:space="preserve">includes the modified </w:t>
      </w:r>
      <w:r w:rsidR="0026028D">
        <w:t>Cost Recovery (CR)</w:t>
      </w:r>
      <w:r>
        <w:t xml:space="preserve"> for this MDTF (see below).</w:t>
      </w:r>
    </w:p>
    <w:p w14:paraId="79AE50CC" w14:textId="4364ECC0" w:rsidR="00BA67CD" w:rsidRDefault="004D2A1B" w:rsidP="00912F3B">
      <w:pPr>
        <w:pStyle w:val="ListParagraph"/>
        <w:numPr>
          <w:ilvl w:val="0"/>
          <w:numId w:val="3"/>
        </w:numPr>
      </w:pPr>
      <w:r w:rsidRPr="00BA67CD">
        <w:rPr>
          <w:b/>
          <w:bCs/>
        </w:rPr>
        <w:t>Call of Funds (</w:t>
      </w:r>
      <w:r w:rsidR="00A06472" w:rsidRPr="00BA67CD">
        <w:rPr>
          <w:b/>
          <w:bCs/>
        </w:rPr>
        <w:t>COF</w:t>
      </w:r>
      <w:r w:rsidRPr="00BA67CD">
        <w:rPr>
          <w:b/>
          <w:bCs/>
        </w:rPr>
        <w:t>)</w:t>
      </w:r>
      <w:r w:rsidR="00A06472" w:rsidRPr="00BA67CD">
        <w:rPr>
          <w:b/>
          <w:bCs/>
        </w:rPr>
        <w:t>:</w:t>
      </w:r>
      <w:r w:rsidR="00A06472">
        <w:t xml:space="preserve"> </w:t>
      </w:r>
      <w:r w:rsidR="005F3A87">
        <w:t xml:space="preserve">Upon signed AA, the Bank submits </w:t>
      </w:r>
      <w:r w:rsidR="00B0233A">
        <w:t xml:space="preserve">the </w:t>
      </w:r>
      <w:r w:rsidR="005F3A87">
        <w:t xml:space="preserve">COF, which includes a </w:t>
      </w:r>
      <w:r w:rsidR="00BA67CD" w:rsidRPr="00BA67CD">
        <w:t xml:space="preserve">cover letter, invoice, and instructions </w:t>
      </w:r>
      <w:r w:rsidR="00BA67CD">
        <w:t>for making payment</w:t>
      </w:r>
      <w:r w:rsidR="00B0233A">
        <w:t xml:space="preserve">, and follows the </w:t>
      </w:r>
      <w:r w:rsidR="00016AD4">
        <w:t>transfer schedule set out in the AA.</w:t>
      </w:r>
    </w:p>
    <w:p w14:paraId="31B82320" w14:textId="0DCA3C31" w:rsidR="00A06472" w:rsidRPr="00A06472" w:rsidRDefault="00A06472" w:rsidP="00912F3B">
      <w:pPr>
        <w:pStyle w:val="ListParagraph"/>
        <w:numPr>
          <w:ilvl w:val="0"/>
          <w:numId w:val="3"/>
        </w:numPr>
      </w:pPr>
      <w:r w:rsidRPr="00BA67CD">
        <w:rPr>
          <w:b/>
          <w:bCs/>
        </w:rPr>
        <w:t>Investment income:</w:t>
      </w:r>
      <w:r>
        <w:t xml:space="preserve"> </w:t>
      </w:r>
      <w:r w:rsidR="005032E1">
        <w:t>As per the AA, “t</w:t>
      </w:r>
      <w:r w:rsidRPr="00A06472">
        <w:t>he Bank shall invest and reinvest the funds deposited in the Trust Fund pending their disbursement</w:t>
      </w:r>
      <w:r w:rsidR="00AC4CCA">
        <w:t>…</w:t>
      </w:r>
      <w:r w:rsidR="00AD1D14">
        <w:t xml:space="preserve"> </w:t>
      </w:r>
      <w:r w:rsidRPr="00A06472">
        <w:t>The Bank shall credit all income from such investment to the Trust Fund to be used for the same purposes as the Contributions.</w:t>
      </w:r>
      <w:r w:rsidR="005032E1">
        <w:t>” If there are</w:t>
      </w:r>
      <w:r w:rsidR="00015290">
        <w:t xml:space="preserve"> specific</w:t>
      </w:r>
      <w:r w:rsidR="005032E1">
        <w:t xml:space="preserve"> issues for some donors, </w:t>
      </w:r>
      <w:r w:rsidR="00B0233A">
        <w:t xml:space="preserve">additional options can be </w:t>
      </w:r>
      <w:r w:rsidR="005032E1">
        <w:t>discuss</w:t>
      </w:r>
      <w:r w:rsidR="00B0233A">
        <w:t>ed</w:t>
      </w:r>
      <w:r w:rsidR="005032E1">
        <w:t>.</w:t>
      </w:r>
    </w:p>
    <w:p w14:paraId="2226F6CF" w14:textId="52D9C215" w:rsidR="001A56E9" w:rsidRDefault="001A56E9" w:rsidP="00912F3B">
      <w:pPr>
        <w:pStyle w:val="ListParagraph"/>
        <w:numPr>
          <w:ilvl w:val="0"/>
          <w:numId w:val="3"/>
        </w:numPr>
      </w:pPr>
      <w:r w:rsidRPr="00A06472">
        <w:rPr>
          <w:b/>
          <w:bCs/>
        </w:rPr>
        <w:t>Timelines</w:t>
      </w:r>
      <w:r>
        <w:t xml:space="preserve">: </w:t>
      </w:r>
      <w:r w:rsidR="0083244F">
        <w:t xml:space="preserve">Generally, it </w:t>
      </w:r>
      <w:r w:rsidR="00AD1D14">
        <w:t>can</w:t>
      </w:r>
      <w:r w:rsidR="0083244F">
        <w:t xml:space="preserve"> take</w:t>
      </w:r>
      <w:r>
        <w:t xml:space="preserve"> </w:t>
      </w:r>
      <w:r w:rsidR="00AD1D14">
        <w:t xml:space="preserve">as little as </w:t>
      </w:r>
      <w:r w:rsidR="0083244F">
        <w:t>1-2 w</w:t>
      </w:r>
      <w:r>
        <w:t>eek</w:t>
      </w:r>
      <w:r w:rsidR="0083244F">
        <w:t>s</w:t>
      </w:r>
      <w:r>
        <w:t xml:space="preserve"> from Pledge to Call-of-Funds</w:t>
      </w:r>
      <w:r w:rsidR="0083244F">
        <w:t>, depending on donor timeline</w:t>
      </w:r>
      <w:r w:rsidR="002E2D2D">
        <w:t>s</w:t>
      </w:r>
      <w:r w:rsidR="0083244F">
        <w:t xml:space="preserve"> and </w:t>
      </w:r>
      <w:r w:rsidR="00163E6B">
        <w:t>approval processes</w:t>
      </w:r>
      <w:r w:rsidR="0083244F">
        <w:t>.</w:t>
      </w:r>
    </w:p>
    <w:p w14:paraId="73A6B788" w14:textId="0C2C1E5D" w:rsidR="0036586F" w:rsidRPr="00B638DC" w:rsidRDefault="0036586F" w:rsidP="00912F3B">
      <w:pPr>
        <w:pStyle w:val="Heading3"/>
        <w:numPr>
          <w:ilvl w:val="1"/>
          <w:numId w:val="15"/>
        </w:numPr>
        <w:rPr>
          <w:b/>
          <w:bCs/>
          <w:u w:val="single"/>
        </w:rPr>
      </w:pPr>
      <w:r w:rsidRPr="00B638DC">
        <w:rPr>
          <w:b/>
          <w:bCs/>
          <w:u w:val="single"/>
        </w:rPr>
        <w:lastRenderedPageBreak/>
        <w:t>Cost Recovery on Donor Contributions</w:t>
      </w:r>
    </w:p>
    <w:p w14:paraId="46C3BE19" w14:textId="06DB9590" w:rsidR="00313133" w:rsidRPr="0008141E" w:rsidRDefault="00313133" w:rsidP="00313133">
      <w:r>
        <w:t xml:space="preserve">Reflecting on the scale of support that is being provided and the exceptional circumstances, World Bank Management </w:t>
      </w:r>
      <w:r w:rsidR="00E82394">
        <w:t xml:space="preserve">has </w:t>
      </w:r>
      <w:r w:rsidR="00855C7E">
        <w:t>agreed to</w:t>
      </w:r>
      <w:r w:rsidR="0090793F">
        <w:t xml:space="preserve"> a modified </w:t>
      </w:r>
      <w:r>
        <w:t xml:space="preserve">Cost Recovery (CR) fee structure on grant contributions from </w:t>
      </w:r>
      <w:r w:rsidRPr="0008141E">
        <w:t>development partners to fast-disbursing trust funds (TFs) for Ukraine.</w:t>
      </w:r>
    </w:p>
    <w:p w14:paraId="395DCA5D" w14:textId="792277C2" w:rsidR="00855C7E" w:rsidRPr="0008141E" w:rsidRDefault="005512A8" w:rsidP="00CA6019">
      <w:r w:rsidRPr="0008141E">
        <w:t xml:space="preserve">As a result, </w:t>
      </w:r>
      <w:r w:rsidR="00012981" w:rsidRPr="0008141E">
        <w:t xml:space="preserve">contributions to </w:t>
      </w:r>
      <w:r w:rsidR="009827E3" w:rsidRPr="0008141E">
        <w:t xml:space="preserve">the </w:t>
      </w:r>
      <w:r w:rsidR="0068107C" w:rsidRPr="0008141E">
        <w:t xml:space="preserve">MDTF for Co-financing of the Public Expenditures for Administrative Capacity Endurance (PEACE) in Ukraine Project </w:t>
      </w:r>
      <w:r w:rsidR="008B6F06" w:rsidRPr="0008141E">
        <w:t>(TF073829)</w:t>
      </w:r>
      <w:r w:rsidR="009827E3" w:rsidRPr="0008141E">
        <w:t xml:space="preserve"> </w:t>
      </w:r>
      <w:r w:rsidR="004F1A25" w:rsidRPr="0008141E">
        <w:t>are</w:t>
      </w:r>
      <w:r w:rsidR="0068107C" w:rsidRPr="0008141E">
        <w:t xml:space="preserve"> subject to a 1%</w:t>
      </w:r>
      <w:r w:rsidR="00012981" w:rsidRPr="0008141E">
        <w:t xml:space="preserve"> fee</w:t>
      </w:r>
      <w:r w:rsidR="0068107C" w:rsidRPr="0008141E">
        <w:t xml:space="preserve"> </w:t>
      </w:r>
      <w:r w:rsidR="007B4288" w:rsidRPr="0008141E">
        <w:t>– rather than the</w:t>
      </w:r>
      <w:r w:rsidR="00644725" w:rsidRPr="0008141E">
        <w:t xml:space="preserve"> falling sliding scale</w:t>
      </w:r>
      <w:r w:rsidR="008764F1" w:rsidRPr="0008141E">
        <w:t xml:space="preserve"> for RETFs</w:t>
      </w:r>
      <w:r w:rsidR="00644725" w:rsidRPr="0008141E">
        <w:t>, based on overall trust fund volume, starting at 5%</w:t>
      </w:r>
      <w:r w:rsidR="008764F1" w:rsidRPr="0008141E">
        <w:t>.</w:t>
      </w:r>
    </w:p>
    <w:p w14:paraId="1BED13C5" w14:textId="40A23141" w:rsidR="0014107C" w:rsidRPr="0008141E" w:rsidRDefault="008764F1" w:rsidP="00313133">
      <w:r w:rsidRPr="0008141E">
        <w:t xml:space="preserve">Additionally, </w:t>
      </w:r>
      <w:r w:rsidR="00313133" w:rsidRPr="0008141E">
        <w:t xml:space="preserve">World Bank management has agreed to waive the CR fees on the portion of grant contributions exceeding – in the aggregate, across such trust funds for Ukraine – US$500 million from each development partner to fast-disbursing trust funds during </w:t>
      </w:r>
      <w:r w:rsidR="009F6AFD" w:rsidRPr="0008141E">
        <w:t>the</w:t>
      </w:r>
      <w:r w:rsidR="00313133" w:rsidRPr="0008141E">
        <w:t xml:space="preserve"> 18-month period from March 1, 2022 to August 31, 2023.</w:t>
      </w:r>
      <w:r w:rsidR="00B77790" w:rsidRPr="0008141E">
        <w:t xml:space="preserve"> </w:t>
      </w:r>
      <w:r w:rsidR="009F6AFD" w:rsidRPr="0008141E">
        <w:t>TF073828</w:t>
      </w:r>
      <w:r w:rsidR="009E674E" w:rsidRPr="0008141E">
        <w:t xml:space="preserve"> was established with a 0% fee</w:t>
      </w:r>
      <w:r w:rsidR="0085215E" w:rsidRPr="0008141E">
        <w:t xml:space="preserve"> for </w:t>
      </w:r>
      <w:r w:rsidR="00BA35D5" w:rsidRPr="0008141E">
        <w:t>donors meeting this threshold.</w:t>
      </w:r>
    </w:p>
    <w:p w14:paraId="5E60A883" w14:textId="5FFB7154" w:rsidR="00313133" w:rsidRDefault="006404E3" w:rsidP="00313133">
      <w:r w:rsidRPr="0008141E">
        <w:t>Th</w:t>
      </w:r>
      <w:r w:rsidR="004B287B" w:rsidRPr="0008141E">
        <w:t>is modified CR</w:t>
      </w:r>
      <w:r w:rsidR="00750B67" w:rsidRPr="0008141E">
        <w:t xml:space="preserve"> framework noted</w:t>
      </w:r>
      <w:r w:rsidR="004B287B" w:rsidRPr="0008141E">
        <w:t xml:space="preserve"> is </w:t>
      </w:r>
      <w:r w:rsidR="001228D4" w:rsidRPr="0008141E">
        <w:t xml:space="preserve">currently </w:t>
      </w:r>
      <w:r w:rsidR="004B287B" w:rsidRPr="0008141E">
        <w:t xml:space="preserve">applicable to the </w:t>
      </w:r>
      <w:r w:rsidR="00313133" w:rsidRPr="0008141E">
        <w:t>MDTF</w:t>
      </w:r>
      <w:r w:rsidR="00750B67" w:rsidRPr="0008141E">
        <w:t xml:space="preserve">s </w:t>
      </w:r>
      <w:r w:rsidR="00313133" w:rsidRPr="0008141E">
        <w:t>for co-financing</w:t>
      </w:r>
      <w:r w:rsidR="00750B67" w:rsidRPr="0008141E">
        <w:t xml:space="preserve"> (i)</w:t>
      </w:r>
      <w:r w:rsidR="00313133" w:rsidRPr="0008141E">
        <w:t xml:space="preserve"> the Financing of Recovery from Economic Emergency (FREE) Ukraine Development</w:t>
      </w:r>
      <w:r w:rsidR="00313133">
        <w:t xml:space="preserve"> Policy Operation (P178794) </w:t>
      </w:r>
      <w:r w:rsidR="00750B67">
        <w:t xml:space="preserve">and (ii) </w:t>
      </w:r>
      <w:r w:rsidR="00DF26D6">
        <w:t xml:space="preserve">the </w:t>
      </w:r>
      <w:r w:rsidR="00750B67" w:rsidRPr="00750B67">
        <w:t>Public Expenditures for Administrative Capacity Endurance (PEACE) in Ukraine project (P178946).</w:t>
      </w:r>
    </w:p>
    <w:p w14:paraId="4B1D575D" w14:textId="4D6CE530" w:rsidR="001A56E9" w:rsidRPr="00B638DC" w:rsidRDefault="00BD3D07" w:rsidP="00912F3B">
      <w:pPr>
        <w:pStyle w:val="Heading3"/>
        <w:numPr>
          <w:ilvl w:val="1"/>
          <w:numId w:val="15"/>
        </w:numPr>
        <w:rPr>
          <w:b/>
          <w:bCs/>
          <w:u w:val="single"/>
        </w:rPr>
      </w:pPr>
      <w:r w:rsidRPr="00B638DC">
        <w:rPr>
          <w:b/>
          <w:bCs/>
          <w:u w:val="single"/>
        </w:rPr>
        <w:t xml:space="preserve">Process </w:t>
      </w:r>
      <w:r w:rsidR="001A56E9" w:rsidRPr="00B638DC">
        <w:rPr>
          <w:b/>
          <w:bCs/>
          <w:u w:val="single"/>
        </w:rPr>
        <w:t>Flow</w:t>
      </w:r>
      <w:r w:rsidRPr="00B638DC">
        <w:rPr>
          <w:b/>
          <w:bCs/>
          <w:u w:val="single"/>
        </w:rPr>
        <w:t xml:space="preserve"> for Grants to </w:t>
      </w:r>
      <w:r w:rsidR="00DC78E7" w:rsidRPr="00B638DC">
        <w:rPr>
          <w:b/>
          <w:bCs/>
          <w:u w:val="single"/>
        </w:rPr>
        <w:t>Ukraine: Flow</w:t>
      </w:r>
      <w:r w:rsidR="001A56E9" w:rsidRPr="00B638DC">
        <w:rPr>
          <w:b/>
          <w:bCs/>
          <w:u w:val="single"/>
        </w:rPr>
        <w:t xml:space="preserve"> of Funds</w:t>
      </w:r>
      <w:r w:rsidR="00FE79E1" w:rsidRPr="00B638DC">
        <w:rPr>
          <w:b/>
          <w:bCs/>
          <w:u w:val="single"/>
        </w:rPr>
        <w:t xml:space="preserve"> from the MDTF to the Government</w:t>
      </w:r>
    </w:p>
    <w:p w14:paraId="4D15B10F" w14:textId="6BE9809F" w:rsidR="00CF1BE3" w:rsidRDefault="00ED7C60" w:rsidP="00912F3B">
      <w:r w:rsidRPr="00B77790">
        <w:rPr>
          <w:b/>
          <w:bCs/>
          <w:i/>
          <w:iCs/>
        </w:rPr>
        <w:t>K</w:t>
      </w:r>
      <w:r w:rsidR="008074B2" w:rsidRPr="00B77790">
        <w:rPr>
          <w:b/>
          <w:bCs/>
          <w:i/>
          <w:iCs/>
        </w:rPr>
        <w:t>ey steps</w:t>
      </w:r>
      <w:r w:rsidR="008074B2">
        <w:t xml:space="preserve">: Grant Agreement, </w:t>
      </w:r>
      <w:r w:rsidR="00CF1BE3">
        <w:t>transfer/disbursement to the government</w:t>
      </w:r>
      <w:r w:rsidR="003F0A33">
        <w:t xml:space="preserve"> (including </w:t>
      </w:r>
      <w:r w:rsidR="00CF1BE3">
        <w:t>verification</w:t>
      </w:r>
      <w:r w:rsidR="003F0A33">
        <w:t>s).</w:t>
      </w:r>
    </w:p>
    <w:p w14:paraId="2605F86C" w14:textId="348C8CC7" w:rsidR="000F08ED" w:rsidRDefault="000F08ED" w:rsidP="00912F3B">
      <w:r>
        <w:t xml:space="preserve">As the MDTF is a co-financing mechanism, all funds committed and disbursed </w:t>
      </w:r>
      <w:r w:rsidR="0089516B">
        <w:t>from</w:t>
      </w:r>
      <w:r>
        <w:t xml:space="preserve"> the MDTF follow the same procedures as the World Bank’s support through </w:t>
      </w:r>
      <w:r w:rsidRPr="0089516B">
        <w:t xml:space="preserve">the </w:t>
      </w:r>
      <w:r w:rsidR="0098019D" w:rsidRPr="0089516B">
        <w:t>PEACE project (P178946</w:t>
      </w:r>
      <w:r w:rsidRPr="0089516B">
        <w:t>).</w:t>
      </w:r>
    </w:p>
    <w:p w14:paraId="095E63BC" w14:textId="3D9C0133" w:rsidR="00257504" w:rsidRDefault="00257504" w:rsidP="00240FEB">
      <w:pPr>
        <w:pStyle w:val="ListParagraph"/>
        <w:numPr>
          <w:ilvl w:val="0"/>
          <w:numId w:val="12"/>
        </w:numPr>
      </w:pPr>
      <w:r w:rsidRPr="005629F7">
        <w:rPr>
          <w:b/>
          <w:bCs/>
          <w:u w:val="single"/>
        </w:rPr>
        <w:t>Grant Agreement</w:t>
      </w:r>
      <w:r w:rsidR="0089516B">
        <w:rPr>
          <w:b/>
          <w:bCs/>
          <w:u w:val="single"/>
        </w:rPr>
        <w:t xml:space="preserve"> (GA)</w:t>
      </w:r>
      <w:r>
        <w:t>:</w:t>
      </w:r>
      <w:r w:rsidR="0032542A">
        <w:t xml:space="preserve"> The</w:t>
      </w:r>
      <w:r w:rsidR="00302F26">
        <w:t xml:space="preserve"> RETF/co-financing</w:t>
      </w:r>
      <w:r w:rsidR="0032542A">
        <w:t xml:space="preserve"> Grant Agreement is between the World Bank and Ukraine and </w:t>
      </w:r>
      <w:r w:rsidR="00D42B02">
        <w:t>establishes</w:t>
      </w:r>
      <w:r w:rsidR="0032542A">
        <w:t xml:space="preserve"> the </w:t>
      </w:r>
      <w:r w:rsidR="00D42B02">
        <w:t>requirements</w:t>
      </w:r>
      <w:r w:rsidR="00815454">
        <w:t xml:space="preserve"> and operational procedures</w:t>
      </w:r>
      <w:r w:rsidR="00D42B02">
        <w:t xml:space="preserve"> for funds to be committed and disbursed to </w:t>
      </w:r>
      <w:r w:rsidR="00815454">
        <w:t>Ukraine from the MDTF</w:t>
      </w:r>
      <w:r w:rsidR="0043245B">
        <w:t>, in</w:t>
      </w:r>
      <w:r w:rsidR="00A06F10">
        <w:t xml:space="preserve"> </w:t>
      </w:r>
      <w:r w:rsidR="0043245B">
        <w:t>line with the PEACE project</w:t>
      </w:r>
      <w:r w:rsidR="003F0A33">
        <w:t>.</w:t>
      </w:r>
      <w:r w:rsidR="0082243C">
        <w:t xml:space="preserve"> </w:t>
      </w:r>
      <w:r w:rsidR="00E1662C">
        <w:t>GA</w:t>
      </w:r>
      <w:r w:rsidR="00C03B53">
        <w:t>s</w:t>
      </w:r>
      <w:r w:rsidR="006F2D46">
        <w:t xml:space="preserve"> </w:t>
      </w:r>
      <w:r w:rsidR="00C03B53">
        <w:t>are</w:t>
      </w:r>
      <w:r w:rsidR="006F2D46">
        <w:t xml:space="preserve"> </w:t>
      </w:r>
      <w:r w:rsidR="00C03B53">
        <w:t xml:space="preserve">prepared </w:t>
      </w:r>
      <w:r w:rsidR="006F2D46">
        <w:t>based on fund availab</w:t>
      </w:r>
      <w:r w:rsidR="004F15B0">
        <w:t>ility</w:t>
      </w:r>
      <w:r w:rsidR="006F2D46">
        <w:t xml:space="preserve"> in the MDTF</w:t>
      </w:r>
      <w:r w:rsidR="00C03B53">
        <w:t xml:space="preserve"> and World Bank-GoU understanding of sufficient </w:t>
      </w:r>
      <w:r w:rsidR="002D0C56">
        <w:t>eligible expenditures under the project.</w:t>
      </w:r>
      <w:r w:rsidR="00240FEB">
        <w:t xml:space="preserve"> </w:t>
      </w:r>
      <w:hyperlink r:id="rId10">
        <w:r w:rsidR="00A06F10" w:rsidRPr="05F67F94">
          <w:rPr>
            <w:rStyle w:val="Hyperlink"/>
          </w:rPr>
          <w:t>Link to G</w:t>
        </w:r>
        <w:r w:rsidR="0043245B" w:rsidRPr="05F67F94">
          <w:rPr>
            <w:rStyle w:val="Hyperlink"/>
          </w:rPr>
          <w:t xml:space="preserve">rant </w:t>
        </w:r>
        <w:r w:rsidR="0089516B" w:rsidRPr="05F67F94">
          <w:rPr>
            <w:rStyle w:val="Hyperlink"/>
          </w:rPr>
          <w:t>A</w:t>
        </w:r>
        <w:r w:rsidR="0043245B" w:rsidRPr="05F67F94">
          <w:rPr>
            <w:rStyle w:val="Hyperlink"/>
          </w:rPr>
          <w:t>greement</w:t>
        </w:r>
        <w:r w:rsidR="0089516B" w:rsidRPr="05F67F94">
          <w:rPr>
            <w:rStyle w:val="Hyperlink"/>
          </w:rPr>
          <w:t xml:space="preserve"> (29-June-2022</w:t>
        </w:r>
        <w:r w:rsidR="00A06F10" w:rsidRPr="05F67F94">
          <w:rPr>
            <w:rStyle w:val="Hyperlink"/>
          </w:rPr>
          <w:t>)</w:t>
        </w:r>
      </w:hyperlink>
    </w:p>
    <w:p w14:paraId="50330E15" w14:textId="1930C188" w:rsidR="006248B0" w:rsidRPr="00FA73E8" w:rsidRDefault="005629F7" w:rsidP="003A0042">
      <w:pPr>
        <w:pStyle w:val="ListParagraph"/>
        <w:numPr>
          <w:ilvl w:val="0"/>
          <w:numId w:val="12"/>
        </w:numPr>
      </w:pPr>
      <w:r w:rsidRPr="005629F7">
        <w:rPr>
          <w:b/>
          <w:bCs/>
          <w:u w:val="single"/>
        </w:rPr>
        <w:t xml:space="preserve">Transfer / Disbursement to </w:t>
      </w:r>
      <w:r w:rsidR="00390324">
        <w:rPr>
          <w:b/>
          <w:bCs/>
          <w:u w:val="single"/>
        </w:rPr>
        <w:t>Ukraine</w:t>
      </w:r>
      <w:r>
        <w:t xml:space="preserve">: </w:t>
      </w:r>
      <w:r w:rsidR="00636D06" w:rsidRPr="00FA73E8">
        <w:t xml:space="preserve">Upon </w:t>
      </w:r>
      <w:r w:rsidR="00FA73E8">
        <w:t>execution of the GA, d</w:t>
      </w:r>
      <w:r w:rsidR="006248B0" w:rsidRPr="00FA73E8">
        <w:t xml:space="preserve">isbursements occur on the basis of </w:t>
      </w:r>
      <w:r w:rsidR="004F5AA5" w:rsidRPr="00FA73E8">
        <w:t xml:space="preserve">withdrawal applications submitted by MoF. </w:t>
      </w:r>
      <w:r w:rsidR="00FA73E8" w:rsidRPr="00FA73E8">
        <w:t>The World Bank reviews w</w:t>
      </w:r>
      <w:r w:rsidR="00872FE0" w:rsidRPr="00FA73E8">
        <w:t>ithdrawal applications</w:t>
      </w:r>
      <w:r w:rsidR="00FA73E8" w:rsidRPr="00FA73E8">
        <w:t>, as well as the</w:t>
      </w:r>
      <w:r w:rsidR="00872FE0" w:rsidRPr="00FA73E8">
        <w:t xml:space="preserve"> support</w:t>
      </w:r>
      <w:r w:rsidR="00FA73E8" w:rsidRPr="00FA73E8">
        <w:t>ing</w:t>
      </w:r>
      <w:r w:rsidR="00872FE0" w:rsidRPr="00FA73E8">
        <w:t xml:space="preserve"> </w:t>
      </w:r>
      <w:r w:rsidR="00FA73E8" w:rsidRPr="00FA73E8">
        <w:t xml:space="preserve">documentation of </w:t>
      </w:r>
      <w:r w:rsidR="00872FE0" w:rsidRPr="00FA73E8">
        <w:t>the monthly report on actual incurred eligible expenditures for the past month, reconciled to State Treasury records and verified by the World Bank.</w:t>
      </w:r>
    </w:p>
    <w:p w14:paraId="31048F27" w14:textId="1072E052" w:rsidR="00FF2D1B" w:rsidRDefault="0083244F" w:rsidP="0072707D">
      <w:pPr>
        <w:pStyle w:val="ListParagraph"/>
        <w:numPr>
          <w:ilvl w:val="0"/>
          <w:numId w:val="3"/>
        </w:numPr>
      </w:pPr>
      <w:r w:rsidRPr="00B27CE1">
        <w:rPr>
          <w:b/>
          <w:bCs/>
          <w:u w:val="single"/>
        </w:rPr>
        <w:t>Timelines</w:t>
      </w:r>
      <w:r>
        <w:t xml:space="preserve">: </w:t>
      </w:r>
      <w:bookmarkStart w:id="0" w:name="_Hlk99375951"/>
      <w:r w:rsidR="00FF2D1B">
        <w:t xml:space="preserve">The MDTF processes grants on a rolling basis, </w:t>
      </w:r>
      <w:r w:rsidR="0072707D">
        <w:t xml:space="preserve">based on fund availability in the MDTF and World Bank-GoU understanding of sufficient eligible expenditures under the project. </w:t>
      </w:r>
      <w:r w:rsidR="003C32F7">
        <w:t>The World Bank team</w:t>
      </w:r>
      <w:r w:rsidR="00FF2D1B">
        <w:t xml:space="preserve"> work</w:t>
      </w:r>
      <w:r w:rsidR="003C32F7">
        <w:t>s</w:t>
      </w:r>
      <w:r w:rsidR="00FF2D1B">
        <w:t xml:space="preserve"> </w:t>
      </w:r>
      <w:r w:rsidR="003C32F7">
        <w:t xml:space="preserve">closely </w:t>
      </w:r>
      <w:r w:rsidR="00FF2D1B">
        <w:t>with Ukraine to consolidate each</w:t>
      </w:r>
      <w:r w:rsidR="00DC0F1A">
        <w:t xml:space="preserve"> grant and</w:t>
      </w:r>
      <w:r w:rsidR="00FF2D1B">
        <w:t xml:space="preserve"> tranche of funding as optimally and efficiently as possible</w:t>
      </w:r>
      <w:r w:rsidR="006D5F8D">
        <w:t xml:space="preserve">, based on </w:t>
      </w:r>
      <w:r w:rsidR="00230EB2">
        <w:t xml:space="preserve">the country’s </w:t>
      </w:r>
      <w:r w:rsidR="00161094">
        <w:t>operational needs and realities</w:t>
      </w:r>
      <w:r w:rsidR="00FF2D1B">
        <w:t>.</w:t>
      </w:r>
      <w:bookmarkEnd w:id="0"/>
    </w:p>
    <w:p w14:paraId="2BB765BA" w14:textId="77777777" w:rsidR="00C24F88" w:rsidRDefault="00C24F88" w:rsidP="00912F3B">
      <w:pPr>
        <w:pStyle w:val="ListParagraph"/>
        <w:ind w:left="360"/>
      </w:pPr>
    </w:p>
    <w:p w14:paraId="3895B520" w14:textId="6159E787" w:rsidR="002D4E70" w:rsidRPr="002D4E70" w:rsidRDefault="002D4E70" w:rsidP="00912F3B">
      <w:pPr>
        <w:pStyle w:val="Heading3"/>
        <w:numPr>
          <w:ilvl w:val="1"/>
          <w:numId w:val="15"/>
        </w:numPr>
        <w:rPr>
          <w:b/>
          <w:bCs/>
          <w:u w:val="single"/>
        </w:rPr>
      </w:pPr>
      <w:r w:rsidRPr="002D4E70">
        <w:rPr>
          <w:b/>
          <w:bCs/>
          <w:u w:val="single"/>
        </w:rPr>
        <w:t>What is the Basis for Disbursement from the MDTF to Ukraine?</w:t>
      </w:r>
    </w:p>
    <w:p w14:paraId="01982BEB" w14:textId="77777777" w:rsidR="0021403D" w:rsidRDefault="002D4E70" w:rsidP="0021403D">
      <w:r>
        <w:t xml:space="preserve">As the MDTF is a co-financing instrument for the </w:t>
      </w:r>
      <w:r w:rsidR="00DF37A0">
        <w:t>PEACE project</w:t>
      </w:r>
      <w:r>
        <w:t xml:space="preserve">, RETF grants from the MDTF follow the same operational procedures as the </w:t>
      </w:r>
      <w:r w:rsidR="00DF37A0">
        <w:t xml:space="preserve">PEACE project </w:t>
      </w:r>
      <w:r>
        <w:t xml:space="preserve">(e.g., fiduciary, M&amp;E, etc.). These </w:t>
      </w:r>
      <w:r w:rsidR="00A377E0">
        <w:t>are</w:t>
      </w:r>
      <w:r>
        <w:t xml:space="preserve"> captured in the Grant Agreement signed between the Bank and Ukraine.</w:t>
      </w:r>
    </w:p>
    <w:p w14:paraId="727333A4" w14:textId="77777777" w:rsidR="0021403D" w:rsidRDefault="002D4E70" w:rsidP="0021403D">
      <w:r>
        <w:t xml:space="preserve">The </w:t>
      </w:r>
      <w:r w:rsidR="00A377E0">
        <w:t xml:space="preserve">PEACE project </w:t>
      </w:r>
      <w:r w:rsidR="00307D17">
        <w:t>is an Investment Project Financing instrument</w:t>
      </w:r>
      <w:r w:rsidR="00414622">
        <w:t>, which</w:t>
      </w:r>
      <w:r w:rsidR="00C818EB">
        <w:t xml:space="preserve"> means</w:t>
      </w:r>
      <w:r w:rsidR="00414622">
        <w:t xml:space="preserve"> that the Bank</w:t>
      </w:r>
      <w:r w:rsidR="00414622" w:rsidRPr="001B325B">
        <w:t xml:space="preserve"> can only finance (and therefore only considers</w:t>
      </w:r>
      <w:r w:rsidR="00414622">
        <w:t xml:space="preserve"> including</w:t>
      </w:r>
      <w:r w:rsidR="00414622" w:rsidRPr="001B325B">
        <w:t xml:space="preserve">) </w:t>
      </w:r>
      <w:r w:rsidR="00414622">
        <w:t>verifiable</w:t>
      </w:r>
      <w:r w:rsidR="00414622" w:rsidRPr="001B325B">
        <w:t xml:space="preserve"> expenditures. The PEACE IPF finance</w:t>
      </w:r>
      <w:r w:rsidR="00A037A5">
        <w:t>s</w:t>
      </w:r>
      <w:r w:rsidR="00414622" w:rsidRPr="001B325B">
        <w:t xml:space="preserve"> salaries of government employees in non-security sectors and school employees.</w:t>
      </w:r>
    </w:p>
    <w:p w14:paraId="0124E356" w14:textId="77777777" w:rsidR="0021403D" w:rsidRDefault="00BC7135" w:rsidP="0021403D">
      <w:r w:rsidRPr="00B7719E">
        <w:lastRenderedPageBreak/>
        <w:t xml:space="preserve">The project </w:t>
      </w:r>
      <w:r>
        <w:t>is</w:t>
      </w:r>
      <w:r w:rsidRPr="00B7719E">
        <w:t xml:space="preserve"> implemented based on a Project Operational Manual (POM)</w:t>
      </w:r>
      <w:r w:rsidR="00A037A5">
        <w:t>,</w:t>
      </w:r>
      <w:r w:rsidRPr="00B7719E">
        <w:t xml:space="preserve"> which </w:t>
      </w:r>
      <w:r>
        <w:t>is</w:t>
      </w:r>
      <w:r w:rsidRPr="00B7719E">
        <w:t xml:space="preserve"> adopted by the MoF before project effectiveness. The POM lay</w:t>
      </w:r>
      <w:r>
        <w:t>s</w:t>
      </w:r>
      <w:r w:rsidRPr="00B7719E">
        <w:t xml:space="preserve"> out the project’s overall operating, fiduciary, verification protocols, decision-making procedures, eligibility criteria for non-security government employees of the centra</w:t>
      </w:r>
      <w:r>
        <w:t>l</w:t>
      </w:r>
      <w:r w:rsidRPr="00AA3980">
        <w:t xml:space="preserve"> and regional governments and school employees, and results monitoring arrangements.</w:t>
      </w:r>
      <w:r>
        <w:t xml:space="preserve"> </w:t>
      </w:r>
    </w:p>
    <w:p w14:paraId="54E6A8B7" w14:textId="489116CF" w:rsidR="00DE2A02" w:rsidRDefault="00D545DD" w:rsidP="0021403D">
      <w:r w:rsidRPr="006248B0">
        <w:t xml:space="preserve">Disbursements will occur on the basis of </w:t>
      </w:r>
      <w:r>
        <w:t xml:space="preserve">withdrawal applications submitted by the MoF. </w:t>
      </w:r>
      <w:r w:rsidRPr="002F3792">
        <w:t>Withdrawal applications would be supported by the monthly report on actual incurred eligible expenditures for the past month, reconciled to State Treasury records and verified by the World Bank.</w:t>
      </w:r>
      <w:r>
        <w:t xml:space="preserve"> </w:t>
      </w:r>
      <w:r w:rsidR="00DE2A02" w:rsidRPr="000043C4">
        <w:t>According to the Grant Agreement with Ukraine ‘No withdrawal shall be made until and unless the Recipient has furnished evidence satisfactory to the Bank in accordance with the verification protocols set forth in the POM, that the Salaries for Eligible Employees have been paid’.</w:t>
      </w:r>
    </w:p>
    <w:p w14:paraId="3F565A83" w14:textId="7FAEF750" w:rsidR="00AB2FB9" w:rsidRPr="003F0A33" w:rsidRDefault="00AB2FB9" w:rsidP="00912F3B">
      <w:pPr>
        <w:pStyle w:val="Heading2"/>
        <w:numPr>
          <w:ilvl w:val="0"/>
          <w:numId w:val="15"/>
        </w:numPr>
        <w:rPr>
          <w:b/>
          <w:bCs/>
          <w:u w:val="single"/>
        </w:rPr>
      </w:pPr>
      <w:r w:rsidRPr="003F0A33">
        <w:rPr>
          <w:b/>
          <w:bCs/>
          <w:u w:val="single"/>
        </w:rPr>
        <w:t>Risk</w:t>
      </w:r>
      <w:r w:rsidR="006336AE">
        <w:rPr>
          <w:b/>
          <w:bCs/>
          <w:u w:val="single"/>
        </w:rPr>
        <w:t xml:space="preserve"> Management</w:t>
      </w:r>
    </w:p>
    <w:p w14:paraId="750BEB2B" w14:textId="07A9347A" w:rsidR="00C956A6" w:rsidRPr="00C956A6" w:rsidRDefault="003F1A8F" w:rsidP="00C956A6">
      <w:pPr>
        <w:pStyle w:val="Heading3"/>
        <w:numPr>
          <w:ilvl w:val="1"/>
          <w:numId w:val="15"/>
        </w:numPr>
        <w:rPr>
          <w:rFonts w:eastAsia="Times New Roman"/>
          <w:u w:val="single"/>
        </w:rPr>
      </w:pPr>
      <w:r w:rsidRPr="00C956A6">
        <w:rPr>
          <w:rFonts w:eastAsia="Times New Roman"/>
          <w:b/>
          <w:bCs/>
          <w:u w:val="single"/>
        </w:rPr>
        <w:t xml:space="preserve">Financial </w:t>
      </w:r>
      <w:r w:rsidRPr="00C956A6">
        <w:rPr>
          <w:b/>
          <w:bCs/>
          <w:u w:val="single"/>
        </w:rPr>
        <w:t>Management</w:t>
      </w:r>
      <w:r w:rsidRPr="00C956A6">
        <w:rPr>
          <w:rFonts w:eastAsia="Times New Roman"/>
          <w:b/>
          <w:bCs/>
          <w:u w:val="single"/>
        </w:rPr>
        <w:t xml:space="preserve"> Measures</w:t>
      </w:r>
    </w:p>
    <w:p w14:paraId="0E1880E5" w14:textId="1F88C700" w:rsidR="003F1A8F" w:rsidRDefault="00C956A6" w:rsidP="009F4E02">
      <w:pPr>
        <w:spacing w:after="0" w:line="240" w:lineRule="auto"/>
      </w:pPr>
      <w:r>
        <w:rPr>
          <w:rFonts w:eastAsia="Times New Roman"/>
        </w:rPr>
        <w:t>T</w:t>
      </w:r>
      <w:r w:rsidR="003F1A8F" w:rsidRPr="003F1A8F">
        <w:rPr>
          <w:rFonts w:eastAsia="Times New Roman"/>
        </w:rPr>
        <w:t>he Bank will “take all appropriate measures to prevent corrupt, fraudulent, collusive, coercive and obstructive practices in connection with the use of the Trust Fund funds, and include provisions in its agreements with Recipients to give full effect to the relevant Bank guidelines on fraud and corruption.”</w:t>
      </w:r>
      <w:r>
        <w:rPr>
          <w:rFonts w:eastAsia="Times New Roman"/>
        </w:rPr>
        <w:t xml:space="preserve"> </w:t>
      </w:r>
      <w:r w:rsidR="009F4E02">
        <w:t>(AA, Annex 2, Para 4).</w:t>
      </w:r>
    </w:p>
    <w:p w14:paraId="096C2B2D" w14:textId="77777777" w:rsidR="009F4E02" w:rsidRPr="003F1A8F" w:rsidRDefault="009F4E02" w:rsidP="009F4E02">
      <w:pPr>
        <w:spacing w:after="0" w:line="240" w:lineRule="auto"/>
      </w:pPr>
    </w:p>
    <w:p w14:paraId="22ED588A" w14:textId="3CE600DC" w:rsidR="00554A20" w:rsidRDefault="00CE1316" w:rsidP="00912F3B">
      <w:pPr>
        <w:pStyle w:val="Heading3"/>
        <w:numPr>
          <w:ilvl w:val="1"/>
          <w:numId w:val="15"/>
        </w:numPr>
        <w:rPr>
          <w:b/>
          <w:bCs/>
          <w:u w:val="single"/>
        </w:rPr>
      </w:pPr>
      <w:r>
        <w:rPr>
          <w:b/>
          <w:bCs/>
          <w:u w:val="single"/>
        </w:rPr>
        <w:t xml:space="preserve">How does the Bank ensure </w:t>
      </w:r>
      <w:r w:rsidR="00B1543D">
        <w:rPr>
          <w:b/>
          <w:bCs/>
          <w:u w:val="single"/>
        </w:rPr>
        <w:t xml:space="preserve">MDTF </w:t>
      </w:r>
      <w:r>
        <w:rPr>
          <w:b/>
          <w:bCs/>
          <w:u w:val="single"/>
        </w:rPr>
        <w:t xml:space="preserve">funds will not be </w:t>
      </w:r>
      <w:r w:rsidR="00B1543D">
        <w:rPr>
          <w:b/>
          <w:bCs/>
          <w:u w:val="single"/>
        </w:rPr>
        <w:t>diverted to military purposes?</w:t>
      </w:r>
    </w:p>
    <w:p w14:paraId="4A781C1C" w14:textId="4F5830AB" w:rsidR="00CE1316" w:rsidRDefault="00FA7A2B" w:rsidP="00912F3B">
      <w:r>
        <w:t>T</w:t>
      </w:r>
      <w:r w:rsidR="00CE1316">
        <w:t>he Bank does not support military expenditures. This is captured in both “negative” and “positive” approaches through our Bank instruments.</w:t>
      </w:r>
    </w:p>
    <w:p w14:paraId="7CDB3F6D" w14:textId="07F55852" w:rsidR="00CE1316" w:rsidRDefault="00CE1316" w:rsidP="00912F3B">
      <w:pPr>
        <w:pStyle w:val="ListParagraph"/>
        <w:numPr>
          <w:ilvl w:val="0"/>
          <w:numId w:val="25"/>
        </w:numPr>
        <w:spacing w:after="0" w:line="240" w:lineRule="auto"/>
        <w:contextualSpacing w:val="0"/>
        <w:rPr>
          <w:rFonts w:eastAsia="Times New Roman"/>
        </w:rPr>
      </w:pPr>
      <w:r>
        <w:rPr>
          <w:rFonts w:eastAsia="Times New Roman"/>
        </w:rPr>
        <w:t xml:space="preserve">For </w:t>
      </w:r>
      <w:r>
        <w:rPr>
          <w:rFonts w:eastAsia="Times New Roman"/>
          <w:u w:val="single"/>
        </w:rPr>
        <w:t>Development Policy Financing (DPF)</w:t>
      </w:r>
      <w:r>
        <w:rPr>
          <w:rFonts w:eastAsia="Times New Roman"/>
        </w:rPr>
        <w:t xml:space="preserve">, </w:t>
      </w:r>
      <w:r w:rsidR="00FA7A2B">
        <w:rPr>
          <w:rFonts w:eastAsia="Times New Roman"/>
        </w:rPr>
        <w:t>the Bank</w:t>
      </w:r>
      <w:r>
        <w:rPr>
          <w:rFonts w:eastAsia="Times New Roman"/>
        </w:rPr>
        <w:t xml:space="preserve"> explicitly exclude</w:t>
      </w:r>
      <w:r w:rsidR="00FA7A2B">
        <w:rPr>
          <w:rFonts w:eastAsia="Times New Roman"/>
        </w:rPr>
        <w:t>s</w:t>
      </w:r>
      <w:r>
        <w:rPr>
          <w:rFonts w:eastAsia="Times New Roman"/>
        </w:rPr>
        <w:t xml:space="preserve"> expenditures for “goods intended for a military or paramilitary purpose” under our </w:t>
      </w:r>
      <w:hyperlink r:id="rId11" w:history="1">
        <w:r>
          <w:rPr>
            <w:rStyle w:val="Hyperlink"/>
            <w:rFonts w:eastAsia="Times New Roman"/>
          </w:rPr>
          <w:t>General Conditions for IBRD Financing</w:t>
        </w:r>
      </w:hyperlink>
      <w:r>
        <w:rPr>
          <w:rFonts w:eastAsia="Times New Roman"/>
        </w:rPr>
        <w:t>. This is by nature, as DPFs provide budget support, not linked to a specific expenditure, so it is critical to have this “negative” list-type approach</w:t>
      </w:r>
      <w:r w:rsidR="00FA7A2B">
        <w:rPr>
          <w:rFonts w:eastAsia="Times New Roman"/>
        </w:rPr>
        <w:t xml:space="preserve"> in DPFs</w:t>
      </w:r>
      <w:r>
        <w:rPr>
          <w:rFonts w:eastAsia="Times New Roman"/>
        </w:rPr>
        <w:t>.</w:t>
      </w:r>
    </w:p>
    <w:p w14:paraId="021D2FF6" w14:textId="07F791BE" w:rsidR="00CE1316" w:rsidRDefault="00CE1316" w:rsidP="00912F3B">
      <w:pPr>
        <w:pStyle w:val="ListParagraph"/>
        <w:numPr>
          <w:ilvl w:val="0"/>
          <w:numId w:val="25"/>
        </w:numPr>
        <w:spacing w:after="0" w:line="240" w:lineRule="auto"/>
        <w:contextualSpacing w:val="0"/>
        <w:rPr>
          <w:rFonts w:eastAsia="Times New Roman"/>
        </w:rPr>
      </w:pPr>
      <w:r>
        <w:rPr>
          <w:rFonts w:eastAsia="Times New Roman"/>
        </w:rPr>
        <w:t xml:space="preserve">For </w:t>
      </w:r>
      <w:r>
        <w:rPr>
          <w:rFonts w:eastAsia="Times New Roman"/>
          <w:u w:val="single"/>
        </w:rPr>
        <w:t>Investment Policy Financing (IPF)</w:t>
      </w:r>
      <w:r>
        <w:rPr>
          <w:rFonts w:eastAsia="Times New Roman"/>
        </w:rPr>
        <w:t xml:space="preserve">, as in this case of the PEACE IPF and MDTF, </w:t>
      </w:r>
      <w:r w:rsidR="00785064">
        <w:rPr>
          <w:rFonts w:eastAsia="Times New Roman"/>
        </w:rPr>
        <w:t>the Bank</w:t>
      </w:r>
      <w:r>
        <w:rPr>
          <w:rFonts w:eastAsia="Times New Roman"/>
        </w:rPr>
        <w:t xml:space="preserve"> support</w:t>
      </w:r>
      <w:r w:rsidR="00785064">
        <w:rPr>
          <w:rFonts w:eastAsia="Times New Roman"/>
        </w:rPr>
        <w:t>s</w:t>
      </w:r>
      <w:r>
        <w:rPr>
          <w:rFonts w:eastAsia="Times New Roman"/>
        </w:rPr>
        <w:t xml:space="preserve"> specific expenditures explicitly in a “positive” list. The positive list for </w:t>
      </w:r>
      <w:r w:rsidR="006D45D9">
        <w:rPr>
          <w:rFonts w:eastAsia="Times New Roman"/>
        </w:rPr>
        <w:t xml:space="preserve">this MDTF </w:t>
      </w:r>
      <w:r>
        <w:rPr>
          <w:rFonts w:eastAsia="Times New Roman"/>
        </w:rPr>
        <w:t xml:space="preserve">co-financing the Project is for: “(a) payment of salaries of eligible employees; (b) provision of audits; and (c) supporting future expansion of the Project, including, inter alia, through financing of: (i) pensions, (iv) utility payments of public sector, (v) social assistance payments, (vi) sub-grants for the benefit of internally displaced persons, and (vii) operating expenses of selected hospitals.” – none of which will include military expenses. Their non-inclusion, as well as the Bank’s clear approach in not supporting military expenditures, provide clear assurance that military expenditures are not included in this project or the MDTF’s support. In the </w:t>
      </w:r>
      <w:hyperlink r:id="rId12" w:history="1">
        <w:r>
          <w:rPr>
            <w:rStyle w:val="Hyperlink"/>
            <w:rFonts w:eastAsia="Times New Roman"/>
          </w:rPr>
          <w:t>various project documents</w:t>
        </w:r>
      </w:hyperlink>
      <w:r>
        <w:rPr>
          <w:rFonts w:eastAsia="Times New Roman"/>
        </w:rPr>
        <w:t xml:space="preserve">, including the Project Appraisal Document (PAD) and the </w:t>
      </w:r>
      <w:hyperlink r:id="rId13" w:history="1">
        <w:r>
          <w:rPr>
            <w:rStyle w:val="Hyperlink"/>
            <w:rFonts w:eastAsia="Times New Roman"/>
          </w:rPr>
          <w:t>Grant Agreement supporting this project (June 29, 2022)</w:t>
        </w:r>
      </w:hyperlink>
      <w:r>
        <w:rPr>
          <w:rFonts w:eastAsia="Times New Roman"/>
        </w:rPr>
        <w:t xml:space="preserve">, </w:t>
      </w:r>
      <w:r w:rsidR="00255614">
        <w:rPr>
          <w:rFonts w:eastAsia="Times New Roman"/>
        </w:rPr>
        <w:t>one can review</w:t>
      </w:r>
      <w:r>
        <w:rPr>
          <w:rFonts w:eastAsia="Times New Roman"/>
        </w:rPr>
        <w:t xml:space="preserve"> the “positive” eligible expenditures and the definitions that explicitly exclude military expenditures (the “negative” aspect)</w:t>
      </w:r>
      <w:r w:rsidR="00255614">
        <w:rPr>
          <w:rFonts w:eastAsia="Times New Roman"/>
        </w:rPr>
        <w:t>:</w:t>
      </w:r>
    </w:p>
    <w:p w14:paraId="566513A2" w14:textId="32652B37" w:rsidR="00CE1316" w:rsidRPr="00ED66B3" w:rsidRDefault="00CE1316" w:rsidP="00ED66B3">
      <w:pPr>
        <w:pStyle w:val="ListParagraph"/>
        <w:numPr>
          <w:ilvl w:val="1"/>
          <w:numId w:val="25"/>
        </w:numPr>
        <w:spacing w:after="0" w:line="240" w:lineRule="auto"/>
        <w:contextualSpacing w:val="0"/>
        <w:rPr>
          <w:rFonts w:eastAsia="Times New Roman"/>
        </w:rPr>
      </w:pPr>
      <w:r>
        <w:rPr>
          <w:rFonts w:eastAsia="Times New Roman"/>
          <w:b/>
          <w:bCs/>
        </w:rPr>
        <w:t>PAD</w:t>
      </w:r>
      <w:r>
        <w:rPr>
          <w:rFonts w:eastAsia="Times New Roman"/>
        </w:rPr>
        <w:t xml:space="preserve">: Throughout the PAD, </w:t>
      </w:r>
      <w:r w:rsidR="00F310CA">
        <w:rPr>
          <w:rFonts w:eastAsia="Times New Roman"/>
        </w:rPr>
        <w:t>we emphasize</w:t>
      </w:r>
      <w:r>
        <w:rPr>
          <w:rFonts w:eastAsia="Times New Roman"/>
        </w:rPr>
        <w:t>:</w:t>
      </w:r>
      <w:r w:rsidR="00ED66B3">
        <w:rPr>
          <w:rFonts w:eastAsia="Times New Roman"/>
        </w:rPr>
        <w:t xml:space="preserve"> (i) </w:t>
      </w:r>
      <w:r w:rsidRPr="00ED66B3">
        <w:rPr>
          <w:rFonts w:eastAsia="Times New Roman"/>
        </w:rPr>
        <w:t>Confirmation that only (a) payment of salaries of eligible employees and (b) provision of audits are included under the project (pg. 2 – datasheet; para 26)</w:t>
      </w:r>
      <w:r w:rsidR="00ED66B3">
        <w:rPr>
          <w:rFonts w:eastAsia="Times New Roman"/>
        </w:rPr>
        <w:t xml:space="preserve">; (ii) </w:t>
      </w:r>
      <w:r w:rsidRPr="00ED66B3">
        <w:rPr>
          <w:rFonts w:eastAsia="Times New Roman"/>
        </w:rPr>
        <w:t>Clear exclusion of salaries of “personnel who joined the military or territorial defense units as of March 2022” (para 22)</w:t>
      </w:r>
      <w:r w:rsidR="00ED66B3">
        <w:rPr>
          <w:rFonts w:eastAsia="Times New Roman"/>
        </w:rPr>
        <w:t xml:space="preserve">; (iii) </w:t>
      </w:r>
      <w:r w:rsidRPr="00ED66B3">
        <w:rPr>
          <w:rFonts w:eastAsia="Times New Roman"/>
        </w:rPr>
        <w:t xml:space="preserve">“The risk that the project will fund personnel who is enlisted into military or territorial defense units is mitigated through the government personnel and payroll control systems - the government accounts for staff who joined military or territorial defense units, as they keep their average salary over previous period rather than regular salaries and are </w:t>
      </w:r>
      <w:r w:rsidRPr="00ED66B3">
        <w:rPr>
          <w:rFonts w:eastAsia="Times New Roman"/>
        </w:rPr>
        <w:lastRenderedPageBreak/>
        <w:t>separately indicated in the payroll/personnel record. The government agencies will exclude this staff and the MoF will verify that the reports from government agencies, retained for audit, will not include the government and school employees who joined military or territorial defense units.” (para 70)</w:t>
      </w:r>
      <w:r w:rsidR="00ED66B3">
        <w:rPr>
          <w:rFonts w:eastAsia="Times New Roman"/>
        </w:rPr>
        <w:t xml:space="preserve">, and (iv) </w:t>
      </w:r>
      <w:r w:rsidRPr="00ED66B3">
        <w:rPr>
          <w:rFonts w:eastAsia="Times New Roman"/>
        </w:rPr>
        <w:t>The project’s clear focus on analysis and support of the non-military budget (para 4, table 2, table 3, etc.)</w:t>
      </w:r>
    </w:p>
    <w:p w14:paraId="68FB01E3" w14:textId="5460865B" w:rsidR="00CE1316" w:rsidRPr="00ED66B3" w:rsidRDefault="00CE1316" w:rsidP="08AF3C94">
      <w:pPr>
        <w:pStyle w:val="ListParagraph"/>
        <w:numPr>
          <w:ilvl w:val="1"/>
          <w:numId w:val="25"/>
        </w:numPr>
        <w:spacing w:after="0" w:line="240" w:lineRule="auto"/>
      </w:pPr>
      <w:r>
        <w:rPr>
          <w:rFonts w:eastAsia="Times New Roman"/>
          <w:b/>
          <w:bCs/>
        </w:rPr>
        <w:t>Grant Agreement</w:t>
      </w:r>
      <w:r>
        <w:rPr>
          <w:rFonts w:eastAsia="Times New Roman"/>
        </w:rPr>
        <w:t>:</w:t>
      </w:r>
      <w:r w:rsidR="00ED66B3">
        <w:rPr>
          <w:rFonts w:eastAsia="Times New Roman"/>
        </w:rPr>
        <w:t xml:space="preserve"> (i) </w:t>
      </w:r>
      <w:r w:rsidRPr="00ED66B3">
        <w:rPr>
          <w:rFonts w:eastAsia="Times New Roman"/>
        </w:rPr>
        <w:t>“Positive” approach of the only expenditures that can be funded (Schedule 1)</w:t>
      </w:r>
      <w:r w:rsidR="00ED66B3">
        <w:rPr>
          <w:rFonts w:eastAsia="Times New Roman"/>
        </w:rPr>
        <w:t xml:space="preserve">; (ii) </w:t>
      </w:r>
      <w:r w:rsidRPr="00ED66B3">
        <w:rPr>
          <w:rFonts w:eastAsia="Times New Roman"/>
        </w:rPr>
        <w:t>Definitions that make clear that military expenditures are not eligible for support under this project or grant (paras 5, 13-14, of Appendix, Section 1. Definitions)</w:t>
      </w:r>
      <w:r w:rsidR="00ED66B3">
        <w:rPr>
          <w:rFonts w:eastAsia="Times New Roman"/>
        </w:rPr>
        <w:t xml:space="preserve">. (iii) </w:t>
      </w:r>
      <w:r>
        <w:t>5. “Eligible Employees” means civil servants and other employees of governmental bodies; School Employees (all as defined in the POM) in non-security sectors who meet the eligibility criteria set forth in the Project Operational Manual.</w:t>
      </w:r>
      <w:r w:rsidR="00ED66B3">
        <w:t xml:space="preserve"> (iv) </w:t>
      </w:r>
      <w:r>
        <w:t>13. “Salaries” the salaries of Eligible Employees, excluding inter alia those in the defense, military and security sector as set forth in the POM</w:t>
      </w:r>
      <w:r w:rsidR="00ED66B3">
        <w:t xml:space="preserve">. (v) </w:t>
      </w:r>
      <w:r>
        <w:t>14. “School Employees” means pedagogical staff working in institutions providing general secondary education; and excluding all employees working in military schools and schools with enhanced military and physical training, as further detailed in the POM.</w:t>
      </w:r>
    </w:p>
    <w:p w14:paraId="60EB09FE" w14:textId="73FC95F7" w:rsidR="001F7724" w:rsidRPr="003F0A33" w:rsidRDefault="00554A20" w:rsidP="00912F3B">
      <w:pPr>
        <w:pStyle w:val="Heading3"/>
        <w:numPr>
          <w:ilvl w:val="1"/>
          <w:numId w:val="15"/>
        </w:numPr>
        <w:rPr>
          <w:b/>
          <w:bCs/>
          <w:u w:val="single"/>
        </w:rPr>
      </w:pPr>
      <w:r>
        <w:rPr>
          <w:b/>
          <w:bCs/>
          <w:u w:val="single"/>
        </w:rPr>
        <w:t>What would happen in the case of u</w:t>
      </w:r>
      <w:r w:rsidR="00585053" w:rsidRPr="003F0A33">
        <w:rPr>
          <w:b/>
          <w:bCs/>
          <w:u w:val="single"/>
        </w:rPr>
        <w:t>nconstitutional change of government</w:t>
      </w:r>
      <w:r>
        <w:rPr>
          <w:b/>
          <w:bCs/>
          <w:u w:val="single"/>
        </w:rPr>
        <w:t>?</w:t>
      </w:r>
    </w:p>
    <w:p w14:paraId="73CFD6E6" w14:textId="3A9287CA" w:rsidR="005573F0" w:rsidRDefault="005573F0" w:rsidP="00912F3B">
      <w:r>
        <w:t xml:space="preserve">Managing the risks related to unconstitutional change of government is a critical priority for the Bank across all its financing modalities to Ukraine. </w:t>
      </w:r>
      <w:r w:rsidR="008C37EF">
        <w:t>T</w:t>
      </w:r>
      <w:r>
        <w:t xml:space="preserve">he MDTF, as a co-financing instrument, will utilize the same operational procedures as the </w:t>
      </w:r>
      <w:r w:rsidR="00872D8D">
        <w:t>PEACE IPF</w:t>
      </w:r>
      <w:r>
        <w:t xml:space="preserve">. </w:t>
      </w:r>
      <w:r w:rsidR="00BF11A9">
        <w:t xml:space="preserve">The </w:t>
      </w:r>
      <w:r>
        <w:t xml:space="preserve">Grant Agreement </w:t>
      </w:r>
      <w:r w:rsidR="00BF11A9">
        <w:t>between the Bank and</w:t>
      </w:r>
      <w:r>
        <w:t xml:space="preserve"> the constitutional government </w:t>
      </w:r>
      <w:r w:rsidR="00D55C13">
        <w:t>commits</w:t>
      </w:r>
      <w:r>
        <w:t xml:space="preserve"> funds to the Ministry of Finance</w:t>
      </w:r>
      <w:r w:rsidR="00D55C13">
        <w:t xml:space="preserve">, under the terms of the IPF, </w:t>
      </w:r>
      <w:r>
        <w:t>significantly reduc</w:t>
      </w:r>
      <w:r w:rsidR="00D55C13">
        <w:t>ing</w:t>
      </w:r>
      <w:r>
        <w:t xml:space="preserve"> risk of diversion.</w:t>
      </w:r>
    </w:p>
    <w:p w14:paraId="284A844E" w14:textId="0C760120" w:rsidR="005573F0" w:rsidRDefault="005573F0" w:rsidP="00912F3B">
      <w:r>
        <w:t>In case of an unconstitutional change of government, the Bank would not make further commitments from the MDTF and can halt disbursement of funds until further consultations have taken place in accordance with the Bank’s applicable policies and terms.</w:t>
      </w:r>
    </w:p>
    <w:p w14:paraId="3E452CB2" w14:textId="5D2088E7" w:rsidR="001A56E9" w:rsidRDefault="001A56E9" w:rsidP="00912F3B">
      <w:pPr>
        <w:pStyle w:val="Heading2"/>
        <w:numPr>
          <w:ilvl w:val="0"/>
          <w:numId w:val="15"/>
        </w:numPr>
        <w:rPr>
          <w:b/>
          <w:bCs/>
          <w:u w:val="single"/>
        </w:rPr>
      </w:pPr>
      <w:r w:rsidRPr="002D4E70">
        <w:rPr>
          <w:b/>
          <w:bCs/>
          <w:u w:val="single"/>
        </w:rPr>
        <w:t>Results Framework</w:t>
      </w:r>
      <w:r w:rsidR="00015121">
        <w:rPr>
          <w:b/>
          <w:bCs/>
          <w:u w:val="single"/>
        </w:rPr>
        <w:t xml:space="preserve"> (RF)</w:t>
      </w:r>
    </w:p>
    <w:p w14:paraId="328B06E4" w14:textId="61B8855C" w:rsidR="00015121" w:rsidRPr="003B511D" w:rsidRDefault="00015121" w:rsidP="00912F3B">
      <w:pPr>
        <w:pStyle w:val="Heading3"/>
        <w:numPr>
          <w:ilvl w:val="1"/>
          <w:numId w:val="15"/>
        </w:numPr>
        <w:rPr>
          <w:b/>
          <w:bCs/>
          <w:u w:val="single"/>
        </w:rPr>
      </w:pPr>
      <w:r w:rsidRPr="003B511D">
        <w:rPr>
          <w:b/>
          <w:bCs/>
          <w:u w:val="single"/>
        </w:rPr>
        <w:t>What is the RF for this MDTF?</w:t>
      </w:r>
    </w:p>
    <w:p w14:paraId="6432F492" w14:textId="1280DE09" w:rsidR="00787131" w:rsidRDefault="00295338" w:rsidP="00912F3B">
      <w:r>
        <w:t>As noted above, t</w:t>
      </w:r>
      <w:r w:rsidR="00593F2C" w:rsidRPr="00015121">
        <w:t>his MDTF</w:t>
      </w:r>
      <w:r>
        <w:t>’s</w:t>
      </w:r>
      <w:r w:rsidR="00593F2C" w:rsidRPr="00015121">
        <w:t xml:space="preserve"> objective </w:t>
      </w:r>
      <w:r w:rsidR="007E5F8A">
        <w:t xml:space="preserve">is </w:t>
      </w:r>
      <w:r w:rsidR="00593F2C" w:rsidRPr="00015121">
        <w:t xml:space="preserve">to co-finance the </w:t>
      </w:r>
      <w:r w:rsidR="007E5F8A" w:rsidRPr="007E5F8A">
        <w:t>Public Expenditures for Administrative Capacity Endurance (PEACE) in Ukraine project</w:t>
      </w:r>
      <w:r w:rsidR="00593F2C" w:rsidRPr="00015121">
        <w:t xml:space="preserve">, through Recipient-executed trust fund (RETF) grants. </w:t>
      </w:r>
      <w:r w:rsidR="0047418A">
        <w:t>The MDTF’s</w:t>
      </w:r>
      <w:r w:rsidR="00593F2C" w:rsidRPr="00015121">
        <w:t xml:space="preserve"> Results Framework (RF) mirror</w:t>
      </w:r>
      <w:r w:rsidR="00C817D8">
        <w:t>s</w:t>
      </w:r>
      <w:r w:rsidR="00593F2C" w:rsidRPr="00015121">
        <w:t xml:space="preserve"> that of the </w:t>
      </w:r>
      <w:r w:rsidR="00987BBD">
        <w:t>PEACE project</w:t>
      </w:r>
      <w:r w:rsidR="00541481">
        <w:t>. T</w:t>
      </w:r>
      <w:r w:rsidR="00541481" w:rsidRPr="00A83D72">
        <w:t>he Results Framework includes sex-disaggregated indicators that note the number of female civil servants and female school employees who receive their income</w:t>
      </w:r>
      <w:r w:rsidR="00541481" w:rsidRPr="002D2109">
        <w:t>.</w:t>
      </w:r>
    </w:p>
    <w:p w14:paraId="3BC5D6C6" w14:textId="77777777" w:rsidR="00C82E8D" w:rsidRDefault="00401C40" w:rsidP="00912F3B">
      <w:r>
        <w:t xml:space="preserve">The </w:t>
      </w:r>
      <w:r w:rsidR="00C82E8D">
        <w:t>RF</w:t>
      </w:r>
      <w:r w:rsidR="00E63353">
        <w:t xml:space="preserve"> </w:t>
      </w:r>
      <w:r w:rsidR="00C82E8D" w:rsidRPr="00015121">
        <w:t>will</w:t>
      </w:r>
      <w:r w:rsidR="00C82E8D">
        <w:t xml:space="preserve"> be</w:t>
      </w:r>
      <w:r w:rsidR="00C82E8D" w:rsidRPr="00015121">
        <w:t xml:space="preserve"> include</w:t>
      </w:r>
      <w:r w:rsidR="00C82E8D">
        <w:t>d</w:t>
      </w:r>
      <w:r w:rsidR="00C82E8D" w:rsidRPr="00015121">
        <w:t xml:space="preserve"> on the </w:t>
      </w:r>
      <w:r w:rsidR="00C82E8D">
        <w:t>Development Partner Center (</w:t>
      </w:r>
      <w:r w:rsidR="00C82E8D" w:rsidRPr="00015121">
        <w:t>DPC</w:t>
      </w:r>
      <w:r w:rsidR="00C82E8D">
        <w:t>)</w:t>
      </w:r>
      <w:r w:rsidR="00C82E8D" w:rsidRPr="00015121">
        <w:t xml:space="preserve"> </w:t>
      </w:r>
      <w:r w:rsidR="00C82E8D">
        <w:t>web</w:t>
      </w:r>
      <w:r w:rsidR="00C82E8D" w:rsidRPr="00015121">
        <w:t>site, in line with Annex 1, Para 5</w:t>
      </w:r>
      <w:r w:rsidR="00C82E8D">
        <w:t xml:space="preserve"> of the AA.</w:t>
      </w:r>
    </w:p>
    <w:p w14:paraId="1E8C341D" w14:textId="42BD742C" w:rsidR="00AD7483" w:rsidRDefault="00C82E8D" w:rsidP="00FD7E5E">
      <w:r>
        <w:t>Additionally, as this is a co-financing MDTF, the PEACE IPF RF and current reporting can be found in the</w:t>
      </w:r>
      <w:r w:rsidR="009739ED">
        <w:t xml:space="preserve"> project’s</w:t>
      </w:r>
      <w:r>
        <w:t xml:space="preserve"> </w:t>
      </w:r>
      <w:r w:rsidR="00825639" w:rsidRPr="00825639">
        <w:t>Implementation Status &amp; Results Report</w:t>
      </w:r>
      <w:r w:rsidR="00825639">
        <w:t xml:space="preserve"> (ISR): </w:t>
      </w:r>
      <w:hyperlink r:id="rId14" w:history="1">
        <w:r w:rsidR="00825639" w:rsidRPr="00825639">
          <w:rPr>
            <w:rStyle w:val="Hyperlink"/>
          </w:rPr>
          <w:t xml:space="preserve">Link to the July 6, 2022 ISR </w:t>
        </w:r>
        <w:r w:rsidR="00593F2C" w:rsidRPr="00825639">
          <w:rPr>
            <w:rStyle w:val="Hyperlink"/>
          </w:rPr>
          <w:t>(see Annex 1)</w:t>
        </w:r>
      </w:hyperlink>
    </w:p>
    <w:p w14:paraId="114D4EFE" w14:textId="4D21F7E6" w:rsidR="00881F9C" w:rsidRPr="00A96210" w:rsidRDefault="00881F9C" w:rsidP="00912F3B">
      <w:pPr>
        <w:pStyle w:val="Heading3"/>
        <w:numPr>
          <w:ilvl w:val="1"/>
          <w:numId w:val="15"/>
        </w:numPr>
        <w:rPr>
          <w:b/>
          <w:bCs/>
          <w:u w:val="single"/>
        </w:rPr>
      </w:pPr>
      <w:r w:rsidRPr="00A96210">
        <w:rPr>
          <w:b/>
          <w:bCs/>
          <w:u w:val="single"/>
        </w:rPr>
        <w:t xml:space="preserve">How will </w:t>
      </w:r>
      <w:r w:rsidR="00A96210" w:rsidRPr="00A96210">
        <w:rPr>
          <w:b/>
          <w:bCs/>
          <w:u w:val="single"/>
        </w:rPr>
        <w:t>results be reported?</w:t>
      </w:r>
    </w:p>
    <w:p w14:paraId="29BCD7F2" w14:textId="716B1276" w:rsidR="00A96210" w:rsidRDefault="00044D9F" w:rsidP="00912F3B">
      <w:r>
        <w:t>Regarding the MDTF, t</w:t>
      </w:r>
      <w:r w:rsidR="00A96210" w:rsidRPr="00A96210">
        <w:t>he Bank shall provide the Donors with annual written progress report</w:t>
      </w:r>
      <w:r w:rsidR="00FE1185">
        <w:t>s</w:t>
      </w:r>
      <w:r w:rsidR="00A96210" w:rsidRPr="00A96210">
        <w:t xml:space="preserve"> by </w:t>
      </w:r>
      <w:r w:rsidR="00A96210" w:rsidRPr="00B9611E">
        <w:t>December 15. The</w:t>
      </w:r>
      <w:r w:rsidR="00A96210" w:rsidRPr="00A96210">
        <w:t xml:space="preserve"> progress reports shall be provided with reference to the Results Framework. Within six (6) months of the End Disbursement Date, the Bank shall provide the Donors with a final narrative progress report for the Trust Fund.</w:t>
      </w:r>
      <w:r w:rsidR="000B02A7">
        <w:t xml:space="preserve"> (</w:t>
      </w:r>
      <w:r w:rsidR="00E11763">
        <w:t>AA, Annex 2</w:t>
      </w:r>
      <w:r w:rsidR="000A2D1F">
        <w:t>, Para 4).</w:t>
      </w:r>
    </w:p>
    <w:p w14:paraId="3C9CBD33" w14:textId="4065C305" w:rsidR="00631A0F" w:rsidRDefault="00827928" w:rsidP="00912F3B">
      <w:pPr>
        <w:pStyle w:val="ListParagraph"/>
        <w:numPr>
          <w:ilvl w:val="0"/>
          <w:numId w:val="22"/>
        </w:numPr>
        <w:spacing w:after="0" w:line="240" w:lineRule="auto"/>
        <w:contextualSpacing w:val="0"/>
        <w:rPr>
          <w:rFonts w:eastAsia="Times New Roman"/>
        </w:rPr>
      </w:pPr>
      <w:r>
        <w:rPr>
          <w:rFonts w:eastAsia="Times New Roman"/>
          <w:b/>
          <w:bCs/>
        </w:rPr>
        <w:lastRenderedPageBreak/>
        <w:t xml:space="preserve">PEACE IPF project </w:t>
      </w:r>
      <w:r w:rsidR="00631A0F">
        <w:rPr>
          <w:rFonts w:eastAsia="Times New Roman"/>
          <w:b/>
          <w:bCs/>
        </w:rPr>
        <w:t xml:space="preserve">Implementation Status and Results Reports (ISRs): </w:t>
      </w:r>
      <w:r w:rsidR="00631A0F">
        <w:rPr>
          <w:rFonts w:eastAsia="Times New Roman"/>
        </w:rPr>
        <w:t xml:space="preserve">ISRs from the PEACE IPF </w:t>
      </w:r>
      <w:r w:rsidR="001D1A57">
        <w:rPr>
          <w:rFonts w:eastAsia="Times New Roman"/>
        </w:rPr>
        <w:t xml:space="preserve">are </w:t>
      </w:r>
      <w:r w:rsidR="00631A0F">
        <w:rPr>
          <w:rFonts w:eastAsia="Times New Roman"/>
        </w:rPr>
        <w:t xml:space="preserve">prepared on </w:t>
      </w:r>
      <w:r w:rsidR="00EE11F5">
        <w:rPr>
          <w:rFonts w:eastAsia="Times New Roman"/>
        </w:rPr>
        <w:t xml:space="preserve">a </w:t>
      </w:r>
      <w:r w:rsidR="00631A0F">
        <w:rPr>
          <w:rFonts w:eastAsia="Times New Roman"/>
        </w:rPr>
        <w:t>6-month basis, following the Bank’s standard ISR templat</w:t>
      </w:r>
      <w:r w:rsidR="001D1A57">
        <w:rPr>
          <w:rFonts w:eastAsia="Times New Roman"/>
        </w:rPr>
        <w:t>e</w:t>
      </w:r>
      <w:r w:rsidR="00EB5408">
        <w:rPr>
          <w:rFonts w:eastAsia="Times New Roman"/>
        </w:rPr>
        <w:t>, and are shared publicly on the project page</w:t>
      </w:r>
      <w:r w:rsidR="001D1A57">
        <w:rPr>
          <w:rFonts w:eastAsia="Times New Roman"/>
        </w:rPr>
        <w:t xml:space="preserve">: </w:t>
      </w:r>
      <w:hyperlink r:id="rId15" w:history="1">
        <w:r w:rsidR="001D1A57" w:rsidRPr="00825639">
          <w:rPr>
            <w:rStyle w:val="Hyperlink"/>
          </w:rPr>
          <w:t>Link to the July 6, 2022 ISR (see Annex 1)</w:t>
        </w:r>
      </w:hyperlink>
    </w:p>
    <w:p w14:paraId="1AB0CA3A" w14:textId="21C403EB" w:rsidR="00631A0F" w:rsidRPr="009061A6" w:rsidRDefault="00631A0F" w:rsidP="009061A6">
      <w:pPr>
        <w:pStyle w:val="ListParagraph"/>
        <w:numPr>
          <w:ilvl w:val="0"/>
          <w:numId w:val="22"/>
        </w:numPr>
        <w:spacing w:after="0" w:line="240" w:lineRule="auto"/>
        <w:contextualSpacing w:val="0"/>
        <w:rPr>
          <w:rFonts w:eastAsia="Times New Roman"/>
        </w:rPr>
      </w:pPr>
      <w:r>
        <w:rPr>
          <w:rFonts w:eastAsia="Times New Roman"/>
          <w:b/>
          <w:bCs/>
        </w:rPr>
        <w:t>Grant-level Reporting:</w:t>
      </w:r>
      <w:r>
        <w:rPr>
          <w:rFonts w:eastAsia="Times New Roman"/>
        </w:rPr>
        <w:t xml:space="preserve"> “</w:t>
      </w:r>
      <w:r w:rsidR="008E42B7">
        <w:rPr>
          <w:rFonts w:eastAsia="Times New Roman"/>
        </w:rPr>
        <w:t>T</w:t>
      </w:r>
      <w:r>
        <w:rPr>
          <w:rFonts w:eastAsia="Times New Roman"/>
        </w:rPr>
        <w:t>he Bank shall make available to the Donors copies of all financial statements and auditors' reports received by the Bank from Recipients pursuant to any Grant Agreements in accordance with the Bank's Access to Information Policy.”</w:t>
      </w:r>
      <w:r w:rsidR="00062898">
        <w:rPr>
          <w:rFonts w:eastAsia="Times New Roman"/>
        </w:rPr>
        <w:t xml:space="preserve"> (AA, Annex 2, Para 3)</w:t>
      </w:r>
      <w:r>
        <w:rPr>
          <w:rFonts w:eastAsia="Times New Roman"/>
        </w:rPr>
        <w:t xml:space="preserve"> For the PEACE IPF, this reporting include</w:t>
      </w:r>
      <w:r w:rsidR="001D1A57">
        <w:rPr>
          <w:rFonts w:eastAsia="Times New Roman"/>
        </w:rPr>
        <w:t>s</w:t>
      </w:r>
      <w:r w:rsidR="009061A6">
        <w:rPr>
          <w:rFonts w:eastAsia="Times New Roman"/>
        </w:rPr>
        <w:t xml:space="preserve"> a m</w:t>
      </w:r>
      <w:r w:rsidRPr="009061A6">
        <w:rPr>
          <w:rFonts w:eastAsia="Times New Roman"/>
        </w:rPr>
        <w:t xml:space="preserve">onthly verification report </w:t>
      </w:r>
      <w:r w:rsidR="009061A6">
        <w:rPr>
          <w:rFonts w:eastAsia="Times New Roman"/>
        </w:rPr>
        <w:t xml:space="preserve">and </w:t>
      </w:r>
      <w:r w:rsidR="00827928">
        <w:rPr>
          <w:rFonts w:eastAsia="Times New Roman"/>
        </w:rPr>
        <w:t>a</w:t>
      </w:r>
      <w:r w:rsidRPr="00827928">
        <w:rPr>
          <w:rFonts w:eastAsia="Times New Roman"/>
        </w:rPr>
        <w:t>udit</w:t>
      </w:r>
      <w:r w:rsidR="00827928">
        <w:rPr>
          <w:rFonts w:eastAsia="Times New Roman"/>
          <w:b/>
          <w:bCs/>
        </w:rPr>
        <w:t xml:space="preserve"> -</w:t>
      </w:r>
      <w:r w:rsidRPr="009061A6">
        <w:rPr>
          <w:rFonts w:eastAsia="Times New Roman"/>
        </w:rPr>
        <w:t xml:space="preserve"> At the end of the project, the Bank will prepare an audit of financial statements and tests to verify the eligibility of project expenditures, including review of controls and procedures.</w:t>
      </w:r>
    </w:p>
    <w:p w14:paraId="0B4ADF6D" w14:textId="77777777" w:rsidR="00631A0F" w:rsidRDefault="00631A0F" w:rsidP="00912F3B">
      <w:pPr>
        <w:pStyle w:val="ListParagraph"/>
        <w:numPr>
          <w:ilvl w:val="0"/>
          <w:numId w:val="22"/>
        </w:numPr>
        <w:spacing w:after="0" w:line="240" w:lineRule="auto"/>
        <w:contextualSpacing w:val="0"/>
        <w:rPr>
          <w:rFonts w:eastAsia="Times New Roman"/>
        </w:rPr>
      </w:pPr>
      <w:r>
        <w:rPr>
          <w:rFonts w:eastAsia="Times New Roman"/>
          <w:b/>
          <w:bCs/>
        </w:rPr>
        <w:t>Trustee-level Narrative Reporting:</w:t>
      </w:r>
      <w:r>
        <w:rPr>
          <w:rFonts w:eastAsia="Times New Roman"/>
        </w:rPr>
        <w:t xml:space="preserve"> In line with the current AA, the Bank shall provide the Donors with annual written progress reports, as well as a final narrative progress report.</w:t>
      </w:r>
    </w:p>
    <w:p w14:paraId="526A0F98" w14:textId="77777777" w:rsidR="00631A0F" w:rsidRPr="00C7402C" w:rsidRDefault="00631A0F" w:rsidP="00912F3B">
      <w:pPr>
        <w:pStyle w:val="ListParagraph"/>
        <w:numPr>
          <w:ilvl w:val="0"/>
          <w:numId w:val="22"/>
        </w:numPr>
        <w:spacing w:after="0" w:line="240" w:lineRule="auto"/>
        <w:contextualSpacing w:val="0"/>
        <w:rPr>
          <w:rFonts w:eastAsia="Times New Roman"/>
        </w:rPr>
      </w:pPr>
      <w:r w:rsidRPr="00C7402C">
        <w:rPr>
          <w:rFonts w:eastAsia="Times New Roman"/>
          <w:b/>
          <w:bCs/>
        </w:rPr>
        <w:t xml:space="preserve">Trustee-level Financial Reporting </w:t>
      </w:r>
      <w:r w:rsidRPr="00C7402C">
        <w:rPr>
          <w:rFonts w:eastAsia="Times New Roman"/>
        </w:rPr>
        <w:t>Also in line with the current AA, the Bank will provide the noted financial reports (such as the financial information relating to receipts, disbursements and fund balance via the Development Partner Center (DPC) platform).</w:t>
      </w:r>
    </w:p>
    <w:p w14:paraId="6A9C7CBD" w14:textId="60681C0E" w:rsidR="0050242C" w:rsidRDefault="0050242C" w:rsidP="00912F3B">
      <w:pPr>
        <w:pStyle w:val="Heading2"/>
        <w:numPr>
          <w:ilvl w:val="0"/>
          <w:numId w:val="15"/>
        </w:numPr>
        <w:rPr>
          <w:b/>
          <w:bCs/>
          <w:u w:val="single"/>
        </w:rPr>
      </w:pPr>
      <w:r>
        <w:rPr>
          <w:b/>
          <w:bCs/>
          <w:u w:val="single"/>
        </w:rPr>
        <w:t>Governance</w:t>
      </w:r>
      <w:r w:rsidR="003E3058">
        <w:rPr>
          <w:b/>
          <w:bCs/>
          <w:u w:val="single"/>
        </w:rPr>
        <w:t xml:space="preserve"> and other </w:t>
      </w:r>
      <w:r w:rsidR="002C2B9A">
        <w:rPr>
          <w:b/>
          <w:bCs/>
          <w:u w:val="single"/>
        </w:rPr>
        <w:t>aspects</w:t>
      </w:r>
      <w:r w:rsidR="003E3058">
        <w:rPr>
          <w:b/>
          <w:bCs/>
          <w:u w:val="single"/>
        </w:rPr>
        <w:t xml:space="preserve"> of the AA</w:t>
      </w:r>
    </w:p>
    <w:p w14:paraId="35702FF6" w14:textId="71204E95" w:rsidR="0050242C" w:rsidRDefault="0050242C" w:rsidP="00912F3B">
      <w:pPr>
        <w:pStyle w:val="Heading3"/>
        <w:numPr>
          <w:ilvl w:val="1"/>
          <w:numId w:val="15"/>
        </w:numPr>
        <w:rPr>
          <w:b/>
          <w:bCs/>
          <w:u w:val="single"/>
        </w:rPr>
      </w:pPr>
      <w:r>
        <w:rPr>
          <w:b/>
          <w:bCs/>
          <w:u w:val="single"/>
        </w:rPr>
        <w:t>What is th</w:t>
      </w:r>
      <w:r w:rsidR="003277D1">
        <w:rPr>
          <w:b/>
          <w:bCs/>
          <w:u w:val="single"/>
        </w:rPr>
        <w:t>is MDTF’s</w:t>
      </w:r>
      <w:r>
        <w:rPr>
          <w:b/>
          <w:bCs/>
          <w:u w:val="single"/>
        </w:rPr>
        <w:t xml:space="preserve"> Governance model?</w:t>
      </w:r>
    </w:p>
    <w:p w14:paraId="08B42617" w14:textId="7D61232D" w:rsidR="00CA55D3" w:rsidRDefault="00CA55D3" w:rsidP="00912F3B">
      <w:bookmarkStart w:id="1" w:name="_Hlk98432379"/>
      <w:r>
        <w:t>As this is a co-financing MDTF, which will provide RETF co-financing grants</w:t>
      </w:r>
      <w:r w:rsidR="004A3E7F">
        <w:t xml:space="preserve"> through the PEACE project</w:t>
      </w:r>
      <w:r>
        <w:t xml:space="preserve">, the MDTF does not have standalone governance arrangements. The scope of the MDTF is limited to providing co-financing to the </w:t>
      </w:r>
      <w:r w:rsidR="00320F0A">
        <w:t>PEACE project</w:t>
      </w:r>
      <w:r>
        <w:t>, and all available funds will be committed to this purpose. Regular updates to donors will be provided as part of project supervision, as well as progress, accounting, and financial reporting, as set out in the AA. This includes progress reporting, final narrative report and financial information relating to receipts, disbursements and fund balance via the World Bank’s Development Partner Center (DPC) platform.</w:t>
      </w:r>
    </w:p>
    <w:p w14:paraId="4E7C2DB0" w14:textId="220D91B9" w:rsidR="005A0132" w:rsidRDefault="002C2B9A" w:rsidP="005A0132">
      <w:pPr>
        <w:pStyle w:val="Heading3"/>
        <w:numPr>
          <w:ilvl w:val="1"/>
          <w:numId w:val="15"/>
        </w:numPr>
        <w:rPr>
          <w:b/>
          <w:bCs/>
          <w:u w:val="single"/>
        </w:rPr>
      </w:pPr>
      <w:r>
        <w:rPr>
          <w:b/>
          <w:bCs/>
          <w:u w:val="single"/>
        </w:rPr>
        <w:t xml:space="preserve">Other aspects of the </w:t>
      </w:r>
      <w:r w:rsidR="003E3058">
        <w:rPr>
          <w:b/>
          <w:bCs/>
          <w:u w:val="single"/>
        </w:rPr>
        <w:t>AA</w:t>
      </w:r>
    </w:p>
    <w:p w14:paraId="3AD45BB9" w14:textId="6D545BCA" w:rsidR="005A0132" w:rsidRDefault="005A0132" w:rsidP="005A0132">
      <w:r>
        <w:rPr>
          <w:b/>
          <w:bCs/>
        </w:rPr>
        <w:t>World Bank’s AA templates</w:t>
      </w:r>
      <w:r>
        <w:t xml:space="preserve"> are negotiated and agreed with our development partners</w:t>
      </w:r>
      <w:r w:rsidR="002C2B9A">
        <w:t xml:space="preserve"> on a multi-year basis</w:t>
      </w:r>
      <w:r>
        <w:t xml:space="preserve">. Therefore, </w:t>
      </w:r>
      <w:r w:rsidR="00785064">
        <w:t>the Bank</w:t>
      </w:r>
      <w:r>
        <w:t xml:space="preserve"> </w:t>
      </w:r>
      <w:r w:rsidR="00785064">
        <w:t>is</w:t>
      </w:r>
      <w:r>
        <w:t xml:space="preserve"> not able to accommodate most proposed changes in individual agreements.</w:t>
      </w:r>
      <w:r w:rsidR="003D141C">
        <w:t xml:space="preserve"> </w:t>
      </w:r>
      <w:r w:rsidR="003D141C" w:rsidRPr="002C56E4">
        <w:t>Th</w:t>
      </w:r>
      <w:r w:rsidR="003D141C">
        <w:t>e</w:t>
      </w:r>
      <w:r w:rsidR="003D141C" w:rsidRPr="002C56E4">
        <w:t xml:space="preserve"> AA</w:t>
      </w:r>
      <w:r w:rsidR="003D141C">
        <w:t xml:space="preserve"> template</w:t>
      </w:r>
      <w:r w:rsidR="003D141C" w:rsidRPr="002C56E4">
        <w:t xml:space="preserve"> was discussed and agreed to in 2016 with a group of major donors to IBRD/IDA trust funds in the context of the Consultative Group on Operational Principles (CGOP).</w:t>
      </w:r>
    </w:p>
    <w:bookmarkEnd w:id="1"/>
    <w:p w14:paraId="7F5D12F6" w14:textId="72B02586" w:rsidR="00640265" w:rsidRPr="002D4E70" w:rsidRDefault="00640265" w:rsidP="005A0132">
      <w:pPr>
        <w:pStyle w:val="Heading2"/>
        <w:numPr>
          <w:ilvl w:val="0"/>
          <w:numId w:val="15"/>
        </w:numPr>
        <w:rPr>
          <w:b/>
          <w:bCs/>
          <w:u w:val="single"/>
        </w:rPr>
      </w:pPr>
      <w:r w:rsidRPr="002D4E70">
        <w:rPr>
          <w:b/>
          <w:bCs/>
          <w:u w:val="single"/>
        </w:rPr>
        <w:t>Visibility</w:t>
      </w:r>
    </w:p>
    <w:p w14:paraId="785E4074" w14:textId="3FCAB183" w:rsidR="00DE77B8" w:rsidRDefault="00DE77B8" w:rsidP="00DE77B8">
      <w:r>
        <w:t>Where appropriate to do so, the Bank will acknowledge, the Donors' contributions in references made by the Bank with respect to the Trust Fund in publications, press releases or other similar written materials. (</w:t>
      </w:r>
      <w:r w:rsidR="00311EE6">
        <w:t>AA, Annex 2, Para 6)</w:t>
      </w:r>
    </w:p>
    <w:p w14:paraId="676D171B" w14:textId="3225D007" w:rsidR="003B511D" w:rsidRPr="003B511D" w:rsidRDefault="003B511D" w:rsidP="005A0132">
      <w:pPr>
        <w:pStyle w:val="Heading2"/>
        <w:numPr>
          <w:ilvl w:val="0"/>
          <w:numId w:val="15"/>
        </w:numPr>
        <w:rPr>
          <w:b/>
          <w:bCs/>
          <w:u w:val="single"/>
        </w:rPr>
      </w:pPr>
      <w:r w:rsidRPr="003B511D">
        <w:rPr>
          <w:b/>
          <w:bCs/>
          <w:u w:val="single"/>
        </w:rPr>
        <w:t>Useful Documents</w:t>
      </w:r>
    </w:p>
    <w:p w14:paraId="077F191A" w14:textId="4957856F" w:rsidR="00091966" w:rsidRDefault="009C3CAF" w:rsidP="00912F3B">
      <w:hyperlink r:id="rId16" w:history="1">
        <w:r w:rsidR="003B511D" w:rsidRPr="00862A84">
          <w:rPr>
            <w:rStyle w:val="Hyperlink"/>
          </w:rPr>
          <w:t>A GUIDE FOR DEVELOPMENT PARTNERS: Partnering with the World Bank through Trust Funds and Umbrella 2.0 Programs (November 2021).</w:t>
        </w:r>
      </w:hyperlink>
      <w:r w:rsidR="003B511D">
        <w:t xml:space="preserve"> </w:t>
      </w:r>
    </w:p>
    <w:p w14:paraId="5B3F0296" w14:textId="64BC9357" w:rsidR="003B511D" w:rsidRDefault="00AB52D2" w:rsidP="00912F3B">
      <w:r>
        <w:t xml:space="preserve">Donor Partner Center (DPC): </w:t>
      </w:r>
      <w:hyperlink r:id="rId17" w:history="1">
        <w:r w:rsidR="00DE0AD2" w:rsidRPr="00603A92">
          <w:rPr>
            <w:rStyle w:val="Hyperlink"/>
          </w:rPr>
          <w:t>https://thedocs.worldbank.org/en/doc/813001586360657813-0060022020/render/DPCFAQs.pdf</w:t>
        </w:r>
      </w:hyperlink>
    </w:p>
    <w:p w14:paraId="0F3707F9" w14:textId="77777777" w:rsidR="003B511D" w:rsidRDefault="003B511D" w:rsidP="00912F3B"/>
    <w:sectPr w:rsidR="003B511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6D9B" w14:textId="77777777" w:rsidR="00FD05B8" w:rsidRDefault="00FD05B8" w:rsidP="0038495B">
      <w:pPr>
        <w:spacing w:after="0" w:line="240" w:lineRule="auto"/>
      </w:pPr>
      <w:r>
        <w:separator/>
      </w:r>
    </w:p>
  </w:endnote>
  <w:endnote w:type="continuationSeparator" w:id="0">
    <w:p w14:paraId="44FB881E" w14:textId="77777777" w:rsidR="00FD05B8" w:rsidRDefault="00FD05B8" w:rsidP="0038495B">
      <w:pPr>
        <w:spacing w:after="0" w:line="240" w:lineRule="auto"/>
      </w:pPr>
      <w:r>
        <w:continuationSeparator/>
      </w:r>
    </w:p>
  </w:endnote>
  <w:endnote w:type="continuationNotice" w:id="1">
    <w:p w14:paraId="598E3745" w14:textId="77777777" w:rsidR="00FD05B8" w:rsidRDefault="00FD0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64841"/>
      <w:docPartObj>
        <w:docPartGallery w:val="Page Numbers (Bottom of Page)"/>
        <w:docPartUnique/>
      </w:docPartObj>
    </w:sdtPr>
    <w:sdtEndPr>
      <w:rPr>
        <w:noProof/>
      </w:rPr>
    </w:sdtEndPr>
    <w:sdtContent>
      <w:p w14:paraId="60D4E402" w14:textId="3472628B" w:rsidR="0038495B" w:rsidRDefault="003849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21668E" w14:textId="77777777" w:rsidR="0038495B" w:rsidRDefault="00384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5227" w14:textId="77777777" w:rsidR="00FD05B8" w:rsidRDefault="00FD05B8" w:rsidP="0038495B">
      <w:pPr>
        <w:spacing w:after="0" w:line="240" w:lineRule="auto"/>
      </w:pPr>
      <w:r>
        <w:separator/>
      </w:r>
    </w:p>
  </w:footnote>
  <w:footnote w:type="continuationSeparator" w:id="0">
    <w:p w14:paraId="698789A3" w14:textId="77777777" w:rsidR="00FD05B8" w:rsidRDefault="00FD05B8" w:rsidP="0038495B">
      <w:pPr>
        <w:spacing w:after="0" w:line="240" w:lineRule="auto"/>
      </w:pPr>
      <w:r>
        <w:continuationSeparator/>
      </w:r>
    </w:p>
  </w:footnote>
  <w:footnote w:type="continuationNotice" w:id="1">
    <w:p w14:paraId="25AD047D" w14:textId="77777777" w:rsidR="00FD05B8" w:rsidRDefault="00FD05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A24"/>
    <w:multiLevelType w:val="hybridMultilevel"/>
    <w:tmpl w:val="82522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470E7"/>
    <w:multiLevelType w:val="hybridMultilevel"/>
    <w:tmpl w:val="58481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12B36"/>
    <w:multiLevelType w:val="multilevel"/>
    <w:tmpl w:val="58B46CE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27404E"/>
    <w:multiLevelType w:val="hybridMultilevel"/>
    <w:tmpl w:val="829C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B7569"/>
    <w:multiLevelType w:val="hybridMultilevel"/>
    <w:tmpl w:val="28DAB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31F74"/>
    <w:multiLevelType w:val="hybridMultilevel"/>
    <w:tmpl w:val="D068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D1ED1"/>
    <w:multiLevelType w:val="hybridMultilevel"/>
    <w:tmpl w:val="B560C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EF00352"/>
    <w:multiLevelType w:val="hybridMultilevel"/>
    <w:tmpl w:val="43242366"/>
    <w:lvl w:ilvl="0" w:tplc="B35E8914">
      <w:start w:val="1"/>
      <w:numFmt w:val="decimal"/>
      <w:lvlText w:val="%1."/>
      <w:lvlJc w:val="left"/>
      <w:pPr>
        <w:ind w:left="360" w:hanging="360"/>
      </w:pPr>
      <w:rPr>
        <w:b w:val="0"/>
        <w:bCs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4853100"/>
    <w:multiLevelType w:val="hybridMultilevel"/>
    <w:tmpl w:val="F6746B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903F4"/>
    <w:multiLevelType w:val="hybridMultilevel"/>
    <w:tmpl w:val="41B0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97940"/>
    <w:multiLevelType w:val="hybridMultilevel"/>
    <w:tmpl w:val="A53A2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EB02A8"/>
    <w:multiLevelType w:val="hybridMultilevel"/>
    <w:tmpl w:val="1C462AA4"/>
    <w:lvl w:ilvl="0" w:tplc="04090001">
      <w:start w:val="1"/>
      <w:numFmt w:val="bullet"/>
      <w:lvlText w:val=""/>
      <w:lvlJc w:val="left"/>
      <w:pPr>
        <w:ind w:left="360" w:hanging="360"/>
      </w:pPr>
      <w:rPr>
        <w:rFonts w:ascii="Symbol" w:hAnsi="Symbol" w:hint="default"/>
        <w:b w:val="0"/>
        <w:bCs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4EA2BE5"/>
    <w:multiLevelType w:val="hybridMultilevel"/>
    <w:tmpl w:val="429E2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61384"/>
    <w:multiLevelType w:val="hybridMultilevel"/>
    <w:tmpl w:val="E2A8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550064"/>
    <w:multiLevelType w:val="hybridMultilevel"/>
    <w:tmpl w:val="F3AEF7EC"/>
    <w:lvl w:ilvl="0" w:tplc="B35E89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4D55B8"/>
    <w:multiLevelType w:val="hybridMultilevel"/>
    <w:tmpl w:val="981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17CC0"/>
    <w:multiLevelType w:val="hybridMultilevel"/>
    <w:tmpl w:val="3BDAAA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438B6FF1"/>
    <w:multiLevelType w:val="hybridMultilevel"/>
    <w:tmpl w:val="7CCE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C32ED"/>
    <w:multiLevelType w:val="hybridMultilevel"/>
    <w:tmpl w:val="07F2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5B3977"/>
    <w:multiLevelType w:val="hybridMultilevel"/>
    <w:tmpl w:val="C0786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274A27"/>
    <w:multiLevelType w:val="hybridMultilevel"/>
    <w:tmpl w:val="C0BE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EA6EB0"/>
    <w:multiLevelType w:val="hybridMultilevel"/>
    <w:tmpl w:val="4A24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481B9D"/>
    <w:multiLevelType w:val="hybridMultilevel"/>
    <w:tmpl w:val="249A6A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955789"/>
    <w:multiLevelType w:val="hybridMultilevel"/>
    <w:tmpl w:val="F5BCF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70E9E"/>
    <w:multiLevelType w:val="multilevel"/>
    <w:tmpl w:val="F75AC55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75AA460A"/>
    <w:multiLevelType w:val="hybridMultilevel"/>
    <w:tmpl w:val="643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F4A1C"/>
    <w:multiLevelType w:val="multilevel"/>
    <w:tmpl w:val="58B46CE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07169033">
    <w:abstractNumId w:val="4"/>
  </w:num>
  <w:num w:numId="2" w16cid:durableId="1513883865">
    <w:abstractNumId w:val="20"/>
  </w:num>
  <w:num w:numId="3" w16cid:durableId="1610508189">
    <w:abstractNumId w:val="19"/>
  </w:num>
  <w:num w:numId="4" w16cid:durableId="1128551080">
    <w:abstractNumId w:val="10"/>
  </w:num>
  <w:num w:numId="5" w16cid:durableId="1382629676">
    <w:abstractNumId w:val="0"/>
  </w:num>
  <w:num w:numId="6" w16cid:durableId="149759865">
    <w:abstractNumId w:val="23"/>
  </w:num>
  <w:num w:numId="7" w16cid:durableId="1307129788">
    <w:abstractNumId w:val="0"/>
  </w:num>
  <w:num w:numId="8" w16cid:durableId="133573371">
    <w:abstractNumId w:val="5"/>
  </w:num>
  <w:num w:numId="9" w16cid:durableId="723675549">
    <w:abstractNumId w:val="18"/>
  </w:num>
  <w:num w:numId="10" w16cid:durableId="25301936">
    <w:abstractNumId w:val="22"/>
  </w:num>
  <w:num w:numId="11" w16cid:durableId="1115440288">
    <w:abstractNumId w:val="16"/>
  </w:num>
  <w:num w:numId="12" w16cid:durableId="1035036255">
    <w:abstractNumId w:val="1"/>
  </w:num>
  <w:num w:numId="13" w16cid:durableId="1416124611">
    <w:abstractNumId w:val="17"/>
  </w:num>
  <w:num w:numId="14" w16cid:durableId="750276205">
    <w:abstractNumId w:val="3"/>
  </w:num>
  <w:num w:numId="15" w16cid:durableId="1475104301">
    <w:abstractNumId w:val="26"/>
  </w:num>
  <w:num w:numId="16" w16cid:durableId="1136026448">
    <w:abstractNumId w:val="6"/>
  </w:num>
  <w:num w:numId="17" w16cid:durableId="1844078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0931875">
    <w:abstractNumId w:val="7"/>
  </w:num>
  <w:num w:numId="19" w16cid:durableId="97912780">
    <w:abstractNumId w:val="11"/>
  </w:num>
  <w:num w:numId="20" w16cid:durableId="483814173">
    <w:abstractNumId w:val="24"/>
  </w:num>
  <w:num w:numId="21" w16cid:durableId="2094007822">
    <w:abstractNumId w:val="9"/>
  </w:num>
  <w:num w:numId="22" w16cid:durableId="871039445">
    <w:abstractNumId w:val="13"/>
  </w:num>
  <w:num w:numId="23" w16cid:durableId="198250504">
    <w:abstractNumId w:val="15"/>
  </w:num>
  <w:num w:numId="24" w16cid:durableId="2098020404">
    <w:abstractNumId w:val="21"/>
  </w:num>
  <w:num w:numId="25" w16cid:durableId="1320844603">
    <w:abstractNumId w:val="21"/>
  </w:num>
  <w:num w:numId="26" w16cid:durableId="748237231">
    <w:abstractNumId w:val="8"/>
  </w:num>
  <w:num w:numId="27" w16cid:durableId="667096441">
    <w:abstractNumId w:val="12"/>
  </w:num>
  <w:num w:numId="28" w16cid:durableId="1913537130">
    <w:abstractNumId w:val="2"/>
  </w:num>
  <w:num w:numId="29" w16cid:durableId="15679146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26"/>
    <w:rsid w:val="000002E8"/>
    <w:rsid w:val="0000073A"/>
    <w:rsid w:val="000007CB"/>
    <w:rsid w:val="000009DF"/>
    <w:rsid w:val="00002559"/>
    <w:rsid w:val="000029FE"/>
    <w:rsid w:val="000043C4"/>
    <w:rsid w:val="00004EDB"/>
    <w:rsid w:val="00005EE5"/>
    <w:rsid w:val="000102B0"/>
    <w:rsid w:val="00011744"/>
    <w:rsid w:val="00012981"/>
    <w:rsid w:val="000138FF"/>
    <w:rsid w:val="00014F6C"/>
    <w:rsid w:val="00015121"/>
    <w:rsid w:val="00015290"/>
    <w:rsid w:val="00016AD4"/>
    <w:rsid w:val="000208AF"/>
    <w:rsid w:val="00021F7B"/>
    <w:rsid w:val="00023E35"/>
    <w:rsid w:val="0002585C"/>
    <w:rsid w:val="00026B1C"/>
    <w:rsid w:val="0003012E"/>
    <w:rsid w:val="00031AC7"/>
    <w:rsid w:val="00034FA9"/>
    <w:rsid w:val="00042D8E"/>
    <w:rsid w:val="00044D9F"/>
    <w:rsid w:val="00044E13"/>
    <w:rsid w:val="00046CCD"/>
    <w:rsid w:val="00053784"/>
    <w:rsid w:val="00053DBE"/>
    <w:rsid w:val="000551FF"/>
    <w:rsid w:val="0006007A"/>
    <w:rsid w:val="00061458"/>
    <w:rsid w:val="00062898"/>
    <w:rsid w:val="00072766"/>
    <w:rsid w:val="000747F0"/>
    <w:rsid w:val="00074B14"/>
    <w:rsid w:val="00076578"/>
    <w:rsid w:val="000810F3"/>
    <w:rsid w:val="0008141E"/>
    <w:rsid w:val="0009141D"/>
    <w:rsid w:val="00091966"/>
    <w:rsid w:val="00092194"/>
    <w:rsid w:val="000927E1"/>
    <w:rsid w:val="00092EBE"/>
    <w:rsid w:val="0009725E"/>
    <w:rsid w:val="000A2D1F"/>
    <w:rsid w:val="000A35C1"/>
    <w:rsid w:val="000B02A7"/>
    <w:rsid w:val="000B7B39"/>
    <w:rsid w:val="000C19EC"/>
    <w:rsid w:val="000C3087"/>
    <w:rsid w:val="000C68A2"/>
    <w:rsid w:val="000C7A92"/>
    <w:rsid w:val="000D120B"/>
    <w:rsid w:val="000D367A"/>
    <w:rsid w:val="000E3B97"/>
    <w:rsid w:val="000E529E"/>
    <w:rsid w:val="000F08ED"/>
    <w:rsid w:val="000F46BF"/>
    <w:rsid w:val="000F471F"/>
    <w:rsid w:val="00103CEA"/>
    <w:rsid w:val="00104F4F"/>
    <w:rsid w:val="00106501"/>
    <w:rsid w:val="001069F6"/>
    <w:rsid w:val="00106E1D"/>
    <w:rsid w:val="001124AE"/>
    <w:rsid w:val="00115744"/>
    <w:rsid w:val="00116465"/>
    <w:rsid w:val="00116D45"/>
    <w:rsid w:val="001177F4"/>
    <w:rsid w:val="00117804"/>
    <w:rsid w:val="00117A56"/>
    <w:rsid w:val="001228D4"/>
    <w:rsid w:val="001276A6"/>
    <w:rsid w:val="001308DC"/>
    <w:rsid w:val="00133A5F"/>
    <w:rsid w:val="001369E8"/>
    <w:rsid w:val="00140833"/>
    <w:rsid w:val="0014107C"/>
    <w:rsid w:val="00142DCA"/>
    <w:rsid w:val="001465E3"/>
    <w:rsid w:val="00146F0B"/>
    <w:rsid w:val="00150BE9"/>
    <w:rsid w:val="00152A1F"/>
    <w:rsid w:val="00155994"/>
    <w:rsid w:val="00156321"/>
    <w:rsid w:val="00157F1D"/>
    <w:rsid w:val="00161094"/>
    <w:rsid w:val="00162815"/>
    <w:rsid w:val="00163E6B"/>
    <w:rsid w:val="001653A5"/>
    <w:rsid w:val="0017211A"/>
    <w:rsid w:val="0017468D"/>
    <w:rsid w:val="00175042"/>
    <w:rsid w:val="0018115C"/>
    <w:rsid w:val="00185F68"/>
    <w:rsid w:val="00187D3C"/>
    <w:rsid w:val="001915F1"/>
    <w:rsid w:val="00191FC7"/>
    <w:rsid w:val="00195DCC"/>
    <w:rsid w:val="001A4EE0"/>
    <w:rsid w:val="001A56E9"/>
    <w:rsid w:val="001A6735"/>
    <w:rsid w:val="001A68E2"/>
    <w:rsid w:val="001A7730"/>
    <w:rsid w:val="001B0021"/>
    <w:rsid w:val="001B23DB"/>
    <w:rsid w:val="001B6D12"/>
    <w:rsid w:val="001C0753"/>
    <w:rsid w:val="001C07DE"/>
    <w:rsid w:val="001C104F"/>
    <w:rsid w:val="001C6A3C"/>
    <w:rsid w:val="001D018B"/>
    <w:rsid w:val="001D14AE"/>
    <w:rsid w:val="001D16C8"/>
    <w:rsid w:val="001D1812"/>
    <w:rsid w:val="001D1A57"/>
    <w:rsid w:val="001D24C9"/>
    <w:rsid w:val="001D2626"/>
    <w:rsid w:val="001D30C8"/>
    <w:rsid w:val="001D3297"/>
    <w:rsid w:val="001D4FAB"/>
    <w:rsid w:val="001D7341"/>
    <w:rsid w:val="001E3440"/>
    <w:rsid w:val="001F56A5"/>
    <w:rsid w:val="001F6672"/>
    <w:rsid w:val="001F7724"/>
    <w:rsid w:val="00202DB9"/>
    <w:rsid w:val="00204576"/>
    <w:rsid w:val="002050CA"/>
    <w:rsid w:val="00205B11"/>
    <w:rsid w:val="002108B2"/>
    <w:rsid w:val="00212A37"/>
    <w:rsid w:val="0021403D"/>
    <w:rsid w:val="002158D2"/>
    <w:rsid w:val="00215C87"/>
    <w:rsid w:val="00215CA4"/>
    <w:rsid w:val="00221AAB"/>
    <w:rsid w:val="00226BDC"/>
    <w:rsid w:val="00230EB2"/>
    <w:rsid w:val="00231D36"/>
    <w:rsid w:val="00232BBD"/>
    <w:rsid w:val="00233115"/>
    <w:rsid w:val="0023388B"/>
    <w:rsid w:val="002349AC"/>
    <w:rsid w:val="00237100"/>
    <w:rsid w:val="00240FEB"/>
    <w:rsid w:val="00241584"/>
    <w:rsid w:val="002425C4"/>
    <w:rsid w:val="00243F9E"/>
    <w:rsid w:val="00246CCD"/>
    <w:rsid w:val="002479D1"/>
    <w:rsid w:val="00247F32"/>
    <w:rsid w:val="00255614"/>
    <w:rsid w:val="00257504"/>
    <w:rsid w:val="0026028D"/>
    <w:rsid w:val="00260710"/>
    <w:rsid w:val="00266207"/>
    <w:rsid w:val="00266D96"/>
    <w:rsid w:val="00270CCD"/>
    <w:rsid w:val="00275142"/>
    <w:rsid w:val="002807B7"/>
    <w:rsid w:val="00282939"/>
    <w:rsid w:val="00283C7A"/>
    <w:rsid w:val="002840AD"/>
    <w:rsid w:val="00284C81"/>
    <w:rsid w:val="00285843"/>
    <w:rsid w:val="00290D51"/>
    <w:rsid w:val="00292300"/>
    <w:rsid w:val="00294696"/>
    <w:rsid w:val="00295247"/>
    <w:rsid w:val="00295338"/>
    <w:rsid w:val="002A054D"/>
    <w:rsid w:val="002A1484"/>
    <w:rsid w:val="002A18B3"/>
    <w:rsid w:val="002C2B9A"/>
    <w:rsid w:val="002C308D"/>
    <w:rsid w:val="002C4C7F"/>
    <w:rsid w:val="002C56E4"/>
    <w:rsid w:val="002D0C56"/>
    <w:rsid w:val="002D2109"/>
    <w:rsid w:val="002D34C1"/>
    <w:rsid w:val="002D4E70"/>
    <w:rsid w:val="002D5B71"/>
    <w:rsid w:val="002E0863"/>
    <w:rsid w:val="002E2D2D"/>
    <w:rsid w:val="002E33EB"/>
    <w:rsid w:val="002E3B5F"/>
    <w:rsid w:val="002E68D8"/>
    <w:rsid w:val="002E7846"/>
    <w:rsid w:val="002F1BDA"/>
    <w:rsid w:val="002F3792"/>
    <w:rsid w:val="002F690D"/>
    <w:rsid w:val="002F7683"/>
    <w:rsid w:val="00302F26"/>
    <w:rsid w:val="003076F2"/>
    <w:rsid w:val="00307D17"/>
    <w:rsid w:val="003107DD"/>
    <w:rsid w:val="00310FEB"/>
    <w:rsid w:val="00311243"/>
    <w:rsid w:val="0031159D"/>
    <w:rsid w:val="00311EE6"/>
    <w:rsid w:val="00313133"/>
    <w:rsid w:val="00313FFE"/>
    <w:rsid w:val="003145EE"/>
    <w:rsid w:val="00316279"/>
    <w:rsid w:val="00320F0A"/>
    <w:rsid w:val="0032303E"/>
    <w:rsid w:val="00323620"/>
    <w:rsid w:val="0032542A"/>
    <w:rsid w:val="003277D1"/>
    <w:rsid w:val="003277F4"/>
    <w:rsid w:val="00330616"/>
    <w:rsid w:val="00333047"/>
    <w:rsid w:val="00334676"/>
    <w:rsid w:val="00340283"/>
    <w:rsid w:val="00344EB2"/>
    <w:rsid w:val="003458CE"/>
    <w:rsid w:val="003504AB"/>
    <w:rsid w:val="00350B58"/>
    <w:rsid w:val="003524A7"/>
    <w:rsid w:val="003633AB"/>
    <w:rsid w:val="0036586F"/>
    <w:rsid w:val="0037258E"/>
    <w:rsid w:val="00374111"/>
    <w:rsid w:val="0037421D"/>
    <w:rsid w:val="003749E4"/>
    <w:rsid w:val="00375B9F"/>
    <w:rsid w:val="00377F02"/>
    <w:rsid w:val="00384872"/>
    <w:rsid w:val="0038495B"/>
    <w:rsid w:val="003873EF"/>
    <w:rsid w:val="00390324"/>
    <w:rsid w:val="00394768"/>
    <w:rsid w:val="003A0042"/>
    <w:rsid w:val="003A07F5"/>
    <w:rsid w:val="003A1306"/>
    <w:rsid w:val="003A1685"/>
    <w:rsid w:val="003A4F43"/>
    <w:rsid w:val="003A5A52"/>
    <w:rsid w:val="003A7C70"/>
    <w:rsid w:val="003B12E6"/>
    <w:rsid w:val="003B4EE8"/>
    <w:rsid w:val="003B511D"/>
    <w:rsid w:val="003B6244"/>
    <w:rsid w:val="003C2F5C"/>
    <w:rsid w:val="003C32F7"/>
    <w:rsid w:val="003C683F"/>
    <w:rsid w:val="003D0AA5"/>
    <w:rsid w:val="003D13BC"/>
    <w:rsid w:val="003D141C"/>
    <w:rsid w:val="003D2797"/>
    <w:rsid w:val="003D281B"/>
    <w:rsid w:val="003E25F7"/>
    <w:rsid w:val="003E3058"/>
    <w:rsid w:val="003E3D61"/>
    <w:rsid w:val="003E6BFD"/>
    <w:rsid w:val="003E79A8"/>
    <w:rsid w:val="003F00A1"/>
    <w:rsid w:val="003F0A33"/>
    <w:rsid w:val="003F0E7F"/>
    <w:rsid w:val="003F1975"/>
    <w:rsid w:val="003F1A8F"/>
    <w:rsid w:val="003F26B7"/>
    <w:rsid w:val="003F3266"/>
    <w:rsid w:val="003F4D2C"/>
    <w:rsid w:val="003F51AB"/>
    <w:rsid w:val="003F5703"/>
    <w:rsid w:val="003F6CCD"/>
    <w:rsid w:val="003F75EC"/>
    <w:rsid w:val="003F7B74"/>
    <w:rsid w:val="003F7EFE"/>
    <w:rsid w:val="00401C40"/>
    <w:rsid w:val="004060F7"/>
    <w:rsid w:val="0040650D"/>
    <w:rsid w:val="00406EDC"/>
    <w:rsid w:val="004071EC"/>
    <w:rsid w:val="00411307"/>
    <w:rsid w:val="0041383A"/>
    <w:rsid w:val="00414622"/>
    <w:rsid w:val="004155C1"/>
    <w:rsid w:val="0043212E"/>
    <w:rsid w:val="004323EB"/>
    <w:rsid w:val="0043245B"/>
    <w:rsid w:val="004332F9"/>
    <w:rsid w:val="004339BA"/>
    <w:rsid w:val="00440239"/>
    <w:rsid w:val="00441A5C"/>
    <w:rsid w:val="0044276A"/>
    <w:rsid w:val="00444527"/>
    <w:rsid w:val="00446CB1"/>
    <w:rsid w:val="00451D9C"/>
    <w:rsid w:val="0045273E"/>
    <w:rsid w:val="00457382"/>
    <w:rsid w:val="00460D4C"/>
    <w:rsid w:val="00465FE0"/>
    <w:rsid w:val="0046639D"/>
    <w:rsid w:val="00470354"/>
    <w:rsid w:val="004707EC"/>
    <w:rsid w:val="004730E2"/>
    <w:rsid w:val="0047418A"/>
    <w:rsid w:val="0047457E"/>
    <w:rsid w:val="00475B7F"/>
    <w:rsid w:val="00475E8E"/>
    <w:rsid w:val="00476E70"/>
    <w:rsid w:val="00482228"/>
    <w:rsid w:val="00483BD8"/>
    <w:rsid w:val="00487E48"/>
    <w:rsid w:val="00491A3D"/>
    <w:rsid w:val="0049635C"/>
    <w:rsid w:val="004A3E7F"/>
    <w:rsid w:val="004A4E0E"/>
    <w:rsid w:val="004A5FFC"/>
    <w:rsid w:val="004A7A76"/>
    <w:rsid w:val="004B0181"/>
    <w:rsid w:val="004B287B"/>
    <w:rsid w:val="004B2D33"/>
    <w:rsid w:val="004B4226"/>
    <w:rsid w:val="004B5729"/>
    <w:rsid w:val="004B5AF9"/>
    <w:rsid w:val="004B7AEF"/>
    <w:rsid w:val="004B7E29"/>
    <w:rsid w:val="004C502F"/>
    <w:rsid w:val="004C5E5E"/>
    <w:rsid w:val="004D1751"/>
    <w:rsid w:val="004D2A1B"/>
    <w:rsid w:val="004D41DB"/>
    <w:rsid w:val="004D7813"/>
    <w:rsid w:val="004E38BA"/>
    <w:rsid w:val="004F1122"/>
    <w:rsid w:val="004F15B0"/>
    <w:rsid w:val="004F1A25"/>
    <w:rsid w:val="004F5AA5"/>
    <w:rsid w:val="004F6F8D"/>
    <w:rsid w:val="00500C41"/>
    <w:rsid w:val="0050242C"/>
    <w:rsid w:val="005032E1"/>
    <w:rsid w:val="00503AF6"/>
    <w:rsid w:val="005069E6"/>
    <w:rsid w:val="005101AD"/>
    <w:rsid w:val="00514663"/>
    <w:rsid w:val="005217B1"/>
    <w:rsid w:val="00522709"/>
    <w:rsid w:val="00523A51"/>
    <w:rsid w:val="00523BEA"/>
    <w:rsid w:val="0053118C"/>
    <w:rsid w:val="005314AE"/>
    <w:rsid w:val="00535295"/>
    <w:rsid w:val="00535A67"/>
    <w:rsid w:val="00540DCF"/>
    <w:rsid w:val="00541481"/>
    <w:rsid w:val="005428E3"/>
    <w:rsid w:val="00545167"/>
    <w:rsid w:val="005512A8"/>
    <w:rsid w:val="005519ED"/>
    <w:rsid w:val="00554A20"/>
    <w:rsid w:val="0055608B"/>
    <w:rsid w:val="005573F0"/>
    <w:rsid w:val="00560A5E"/>
    <w:rsid w:val="005629F7"/>
    <w:rsid w:val="00567005"/>
    <w:rsid w:val="00571BE1"/>
    <w:rsid w:val="00573F3F"/>
    <w:rsid w:val="00575A42"/>
    <w:rsid w:val="00577F20"/>
    <w:rsid w:val="00583F3C"/>
    <w:rsid w:val="00585053"/>
    <w:rsid w:val="00590847"/>
    <w:rsid w:val="00592B5C"/>
    <w:rsid w:val="00593456"/>
    <w:rsid w:val="00593F2C"/>
    <w:rsid w:val="00595307"/>
    <w:rsid w:val="00597E0A"/>
    <w:rsid w:val="005A0132"/>
    <w:rsid w:val="005A294E"/>
    <w:rsid w:val="005A2CB9"/>
    <w:rsid w:val="005A6229"/>
    <w:rsid w:val="005A7309"/>
    <w:rsid w:val="005B1659"/>
    <w:rsid w:val="005B1C02"/>
    <w:rsid w:val="005B1D04"/>
    <w:rsid w:val="005C3832"/>
    <w:rsid w:val="005C3912"/>
    <w:rsid w:val="005C4412"/>
    <w:rsid w:val="005C59D4"/>
    <w:rsid w:val="005C5B11"/>
    <w:rsid w:val="005C74ED"/>
    <w:rsid w:val="005D4269"/>
    <w:rsid w:val="005D4A24"/>
    <w:rsid w:val="005D5423"/>
    <w:rsid w:val="005E2A31"/>
    <w:rsid w:val="005E79AC"/>
    <w:rsid w:val="005F0000"/>
    <w:rsid w:val="005F03AD"/>
    <w:rsid w:val="005F3A87"/>
    <w:rsid w:val="005F4E26"/>
    <w:rsid w:val="00601442"/>
    <w:rsid w:val="00603627"/>
    <w:rsid w:val="00607F02"/>
    <w:rsid w:val="0061051D"/>
    <w:rsid w:val="00620D80"/>
    <w:rsid w:val="00621E38"/>
    <w:rsid w:val="006248B0"/>
    <w:rsid w:val="00630B67"/>
    <w:rsid w:val="00631364"/>
    <w:rsid w:val="00631A0F"/>
    <w:rsid w:val="00631F03"/>
    <w:rsid w:val="006336AE"/>
    <w:rsid w:val="006342B2"/>
    <w:rsid w:val="006347D7"/>
    <w:rsid w:val="00636D06"/>
    <w:rsid w:val="00640265"/>
    <w:rsid w:val="006404E3"/>
    <w:rsid w:val="0064428B"/>
    <w:rsid w:val="00644725"/>
    <w:rsid w:val="006459F0"/>
    <w:rsid w:val="00646330"/>
    <w:rsid w:val="00650138"/>
    <w:rsid w:val="00653BE4"/>
    <w:rsid w:val="006546CE"/>
    <w:rsid w:val="00657DEA"/>
    <w:rsid w:val="006603CD"/>
    <w:rsid w:val="006610A2"/>
    <w:rsid w:val="006615FE"/>
    <w:rsid w:val="00666DEB"/>
    <w:rsid w:val="00667C1C"/>
    <w:rsid w:val="00671F5B"/>
    <w:rsid w:val="00672BE1"/>
    <w:rsid w:val="0068107C"/>
    <w:rsid w:val="0068111D"/>
    <w:rsid w:val="0068143C"/>
    <w:rsid w:val="00690858"/>
    <w:rsid w:val="00691D10"/>
    <w:rsid w:val="00691FB8"/>
    <w:rsid w:val="00692674"/>
    <w:rsid w:val="00695080"/>
    <w:rsid w:val="00695CEB"/>
    <w:rsid w:val="00697E29"/>
    <w:rsid w:val="006A1316"/>
    <w:rsid w:val="006A21CA"/>
    <w:rsid w:val="006A43EC"/>
    <w:rsid w:val="006A4CE5"/>
    <w:rsid w:val="006B239D"/>
    <w:rsid w:val="006B24C0"/>
    <w:rsid w:val="006B41FA"/>
    <w:rsid w:val="006B4440"/>
    <w:rsid w:val="006B4976"/>
    <w:rsid w:val="006B5243"/>
    <w:rsid w:val="006C0466"/>
    <w:rsid w:val="006C505A"/>
    <w:rsid w:val="006C588C"/>
    <w:rsid w:val="006C75DA"/>
    <w:rsid w:val="006D0B28"/>
    <w:rsid w:val="006D2ACB"/>
    <w:rsid w:val="006D3104"/>
    <w:rsid w:val="006D45D9"/>
    <w:rsid w:val="006D4CFC"/>
    <w:rsid w:val="006D5F8D"/>
    <w:rsid w:val="006D7016"/>
    <w:rsid w:val="006E0963"/>
    <w:rsid w:val="006E2FEC"/>
    <w:rsid w:val="006E3552"/>
    <w:rsid w:val="006E36E5"/>
    <w:rsid w:val="006E4E47"/>
    <w:rsid w:val="006E69B2"/>
    <w:rsid w:val="006F2D46"/>
    <w:rsid w:val="006F373D"/>
    <w:rsid w:val="006F6A98"/>
    <w:rsid w:val="006F73FF"/>
    <w:rsid w:val="007009E9"/>
    <w:rsid w:val="00704225"/>
    <w:rsid w:val="007117FB"/>
    <w:rsid w:val="00713D79"/>
    <w:rsid w:val="007202F9"/>
    <w:rsid w:val="00722EA2"/>
    <w:rsid w:val="00723FF2"/>
    <w:rsid w:val="0072707D"/>
    <w:rsid w:val="00733DD1"/>
    <w:rsid w:val="007358E4"/>
    <w:rsid w:val="00735967"/>
    <w:rsid w:val="00735B49"/>
    <w:rsid w:val="00750B67"/>
    <w:rsid w:val="00755724"/>
    <w:rsid w:val="00755ACD"/>
    <w:rsid w:val="00756C60"/>
    <w:rsid w:val="00756F6C"/>
    <w:rsid w:val="0076648A"/>
    <w:rsid w:val="00767BB2"/>
    <w:rsid w:val="00770A1E"/>
    <w:rsid w:val="00774638"/>
    <w:rsid w:val="00774AA8"/>
    <w:rsid w:val="00777D3A"/>
    <w:rsid w:val="00780706"/>
    <w:rsid w:val="00782706"/>
    <w:rsid w:val="00785064"/>
    <w:rsid w:val="00787131"/>
    <w:rsid w:val="00791F7A"/>
    <w:rsid w:val="00792D2D"/>
    <w:rsid w:val="007A255D"/>
    <w:rsid w:val="007A3621"/>
    <w:rsid w:val="007A7A36"/>
    <w:rsid w:val="007B3273"/>
    <w:rsid w:val="007B4288"/>
    <w:rsid w:val="007C089C"/>
    <w:rsid w:val="007C5E49"/>
    <w:rsid w:val="007C72C4"/>
    <w:rsid w:val="007D35A4"/>
    <w:rsid w:val="007D3833"/>
    <w:rsid w:val="007D5868"/>
    <w:rsid w:val="007E1676"/>
    <w:rsid w:val="007E44B4"/>
    <w:rsid w:val="007E5D51"/>
    <w:rsid w:val="007E5EFA"/>
    <w:rsid w:val="007E5F8A"/>
    <w:rsid w:val="007F69E7"/>
    <w:rsid w:val="008023D1"/>
    <w:rsid w:val="00803740"/>
    <w:rsid w:val="008074B2"/>
    <w:rsid w:val="008101FE"/>
    <w:rsid w:val="00815454"/>
    <w:rsid w:val="00815DB2"/>
    <w:rsid w:val="0082243C"/>
    <w:rsid w:val="0082366F"/>
    <w:rsid w:val="00824896"/>
    <w:rsid w:val="00825053"/>
    <w:rsid w:val="00825639"/>
    <w:rsid w:val="00827928"/>
    <w:rsid w:val="0083244F"/>
    <w:rsid w:val="008362A4"/>
    <w:rsid w:val="00836626"/>
    <w:rsid w:val="0083795E"/>
    <w:rsid w:val="00841411"/>
    <w:rsid w:val="00841E12"/>
    <w:rsid w:val="0084526E"/>
    <w:rsid w:val="00847649"/>
    <w:rsid w:val="0085215E"/>
    <w:rsid w:val="008528FB"/>
    <w:rsid w:val="00855C7E"/>
    <w:rsid w:val="00857D14"/>
    <w:rsid w:val="00862A84"/>
    <w:rsid w:val="00863B9D"/>
    <w:rsid w:val="00866685"/>
    <w:rsid w:val="00871809"/>
    <w:rsid w:val="00872D8D"/>
    <w:rsid w:val="00872FE0"/>
    <w:rsid w:val="008738AF"/>
    <w:rsid w:val="00875F49"/>
    <w:rsid w:val="008764F1"/>
    <w:rsid w:val="00880BF6"/>
    <w:rsid w:val="00881F7D"/>
    <w:rsid w:val="00881F9C"/>
    <w:rsid w:val="00883231"/>
    <w:rsid w:val="0088774C"/>
    <w:rsid w:val="00887DF4"/>
    <w:rsid w:val="008901A9"/>
    <w:rsid w:val="00892771"/>
    <w:rsid w:val="00894BC3"/>
    <w:rsid w:val="0089516B"/>
    <w:rsid w:val="00895B74"/>
    <w:rsid w:val="008A516A"/>
    <w:rsid w:val="008A5AF5"/>
    <w:rsid w:val="008B0911"/>
    <w:rsid w:val="008B1964"/>
    <w:rsid w:val="008B1D6D"/>
    <w:rsid w:val="008B62BA"/>
    <w:rsid w:val="008B6F06"/>
    <w:rsid w:val="008C0382"/>
    <w:rsid w:val="008C085C"/>
    <w:rsid w:val="008C1860"/>
    <w:rsid w:val="008C1DEF"/>
    <w:rsid w:val="008C37EF"/>
    <w:rsid w:val="008C3F68"/>
    <w:rsid w:val="008C4053"/>
    <w:rsid w:val="008C5A3E"/>
    <w:rsid w:val="008C65D8"/>
    <w:rsid w:val="008C79C5"/>
    <w:rsid w:val="008D15C4"/>
    <w:rsid w:val="008D1A9E"/>
    <w:rsid w:val="008D6C36"/>
    <w:rsid w:val="008D6E31"/>
    <w:rsid w:val="008D6FD1"/>
    <w:rsid w:val="008D70B5"/>
    <w:rsid w:val="008E03E3"/>
    <w:rsid w:val="008E213B"/>
    <w:rsid w:val="008E42B7"/>
    <w:rsid w:val="008E715E"/>
    <w:rsid w:val="008F41C2"/>
    <w:rsid w:val="008F42C7"/>
    <w:rsid w:val="008F4776"/>
    <w:rsid w:val="00903B02"/>
    <w:rsid w:val="009061A6"/>
    <w:rsid w:val="0090793F"/>
    <w:rsid w:val="00911CD9"/>
    <w:rsid w:val="00912F3B"/>
    <w:rsid w:val="009139C3"/>
    <w:rsid w:val="009142B5"/>
    <w:rsid w:val="00916D7E"/>
    <w:rsid w:val="00924381"/>
    <w:rsid w:val="00933ACD"/>
    <w:rsid w:val="009507AC"/>
    <w:rsid w:val="00950876"/>
    <w:rsid w:val="00952A56"/>
    <w:rsid w:val="009575B8"/>
    <w:rsid w:val="00960504"/>
    <w:rsid w:val="00962A94"/>
    <w:rsid w:val="00962D02"/>
    <w:rsid w:val="00962D93"/>
    <w:rsid w:val="0096671C"/>
    <w:rsid w:val="00972247"/>
    <w:rsid w:val="009722A2"/>
    <w:rsid w:val="00972938"/>
    <w:rsid w:val="009739ED"/>
    <w:rsid w:val="0098019D"/>
    <w:rsid w:val="009827E3"/>
    <w:rsid w:val="00987BBD"/>
    <w:rsid w:val="00991422"/>
    <w:rsid w:val="0099167E"/>
    <w:rsid w:val="00992868"/>
    <w:rsid w:val="00993650"/>
    <w:rsid w:val="009946F5"/>
    <w:rsid w:val="00994BF9"/>
    <w:rsid w:val="009A011D"/>
    <w:rsid w:val="009A0B80"/>
    <w:rsid w:val="009A0E40"/>
    <w:rsid w:val="009A28C3"/>
    <w:rsid w:val="009A780F"/>
    <w:rsid w:val="009B0CD2"/>
    <w:rsid w:val="009B4407"/>
    <w:rsid w:val="009B4421"/>
    <w:rsid w:val="009B49FA"/>
    <w:rsid w:val="009B7726"/>
    <w:rsid w:val="009C3CAF"/>
    <w:rsid w:val="009C40AE"/>
    <w:rsid w:val="009C53C2"/>
    <w:rsid w:val="009D39EC"/>
    <w:rsid w:val="009D652F"/>
    <w:rsid w:val="009D7C67"/>
    <w:rsid w:val="009E19DC"/>
    <w:rsid w:val="009E27A2"/>
    <w:rsid w:val="009E482A"/>
    <w:rsid w:val="009E6419"/>
    <w:rsid w:val="009E674E"/>
    <w:rsid w:val="009E675E"/>
    <w:rsid w:val="009F1678"/>
    <w:rsid w:val="009F2FD7"/>
    <w:rsid w:val="009F4E02"/>
    <w:rsid w:val="009F6AFD"/>
    <w:rsid w:val="009F7458"/>
    <w:rsid w:val="009F7B9B"/>
    <w:rsid w:val="00A02829"/>
    <w:rsid w:val="00A02CE6"/>
    <w:rsid w:val="00A02F2A"/>
    <w:rsid w:val="00A037A5"/>
    <w:rsid w:val="00A06472"/>
    <w:rsid w:val="00A066DB"/>
    <w:rsid w:val="00A06F10"/>
    <w:rsid w:val="00A10792"/>
    <w:rsid w:val="00A10F7C"/>
    <w:rsid w:val="00A17A42"/>
    <w:rsid w:val="00A21F71"/>
    <w:rsid w:val="00A23574"/>
    <w:rsid w:val="00A377E0"/>
    <w:rsid w:val="00A45D77"/>
    <w:rsid w:val="00A47118"/>
    <w:rsid w:val="00A47E92"/>
    <w:rsid w:val="00A51CD2"/>
    <w:rsid w:val="00A522B8"/>
    <w:rsid w:val="00A5338E"/>
    <w:rsid w:val="00A53900"/>
    <w:rsid w:val="00A605EE"/>
    <w:rsid w:val="00A62EB3"/>
    <w:rsid w:val="00A63B61"/>
    <w:rsid w:val="00A64BEC"/>
    <w:rsid w:val="00A66891"/>
    <w:rsid w:val="00A72FE5"/>
    <w:rsid w:val="00A733E3"/>
    <w:rsid w:val="00A7731B"/>
    <w:rsid w:val="00A82D08"/>
    <w:rsid w:val="00A83D72"/>
    <w:rsid w:val="00A83F18"/>
    <w:rsid w:val="00A86D0F"/>
    <w:rsid w:val="00A87D7B"/>
    <w:rsid w:val="00A919FD"/>
    <w:rsid w:val="00A93D17"/>
    <w:rsid w:val="00A9434E"/>
    <w:rsid w:val="00A95E3C"/>
    <w:rsid w:val="00A96210"/>
    <w:rsid w:val="00A96A01"/>
    <w:rsid w:val="00A97253"/>
    <w:rsid w:val="00AA1101"/>
    <w:rsid w:val="00AA227C"/>
    <w:rsid w:val="00AA3980"/>
    <w:rsid w:val="00AA6EC3"/>
    <w:rsid w:val="00AB16DD"/>
    <w:rsid w:val="00AB2FB9"/>
    <w:rsid w:val="00AB4CC7"/>
    <w:rsid w:val="00AB52D2"/>
    <w:rsid w:val="00AB7630"/>
    <w:rsid w:val="00AC1B9C"/>
    <w:rsid w:val="00AC3922"/>
    <w:rsid w:val="00AC4364"/>
    <w:rsid w:val="00AC4CCA"/>
    <w:rsid w:val="00AC7F7C"/>
    <w:rsid w:val="00AD1D14"/>
    <w:rsid w:val="00AD4D13"/>
    <w:rsid w:val="00AD5DD9"/>
    <w:rsid w:val="00AD7298"/>
    <w:rsid w:val="00AD7483"/>
    <w:rsid w:val="00AE3C04"/>
    <w:rsid w:val="00AE5D6B"/>
    <w:rsid w:val="00AF506A"/>
    <w:rsid w:val="00AF5F1D"/>
    <w:rsid w:val="00AF67F7"/>
    <w:rsid w:val="00B0233A"/>
    <w:rsid w:val="00B045F2"/>
    <w:rsid w:val="00B06584"/>
    <w:rsid w:val="00B078A3"/>
    <w:rsid w:val="00B07AB9"/>
    <w:rsid w:val="00B1062B"/>
    <w:rsid w:val="00B1147F"/>
    <w:rsid w:val="00B1543D"/>
    <w:rsid w:val="00B26300"/>
    <w:rsid w:val="00B26CD9"/>
    <w:rsid w:val="00B27CE1"/>
    <w:rsid w:val="00B33E96"/>
    <w:rsid w:val="00B35DCC"/>
    <w:rsid w:val="00B36232"/>
    <w:rsid w:val="00B4021A"/>
    <w:rsid w:val="00B41B94"/>
    <w:rsid w:val="00B43D0A"/>
    <w:rsid w:val="00B469E6"/>
    <w:rsid w:val="00B50A48"/>
    <w:rsid w:val="00B51C67"/>
    <w:rsid w:val="00B560EA"/>
    <w:rsid w:val="00B61D49"/>
    <w:rsid w:val="00B638DC"/>
    <w:rsid w:val="00B64C17"/>
    <w:rsid w:val="00B65602"/>
    <w:rsid w:val="00B67C90"/>
    <w:rsid w:val="00B7059E"/>
    <w:rsid w:val="00B70BB2"/>
    <w:rsid w:val="00B724C9"/>
    <w:rsid w:val="00B74534"/>
    <w:rsid w:val="00B7719E"/>
    <w:rsid w:val="00B77790"/>
    <w:rsid w:val="00B81AC7"/>
    <w:rsid w:val="00B82F7B"/>
    <w:rsid w:val="00B84B56"/>
    <w:rsid w:val="00B8702F"/>
    <w:rsid w:val="00B874D1"/>
    <w:rsid w:val="00B90791"/>
    <w:rsid w:val="00B90ACA"/>
    <w:rsid w:val="00B9611E"/>
    <w:rsid w:val="00BA2523"/>
    <w:rsid w:val="00BA35D5"/>
    <w:rsid w:val="00BA5A8E"/>
    <w:rsid w:val="00BA67CD"/>
    <w:rsid w:val="00BA6ADD"/>
    <w:rsid w:val="00BB0BBD"/>
    <w:rsid w:val="00BB6ED6"/>
    <w:rsid w:val="00BB74D9"/>
    <w:rsid w:val="00BC7135"/>
    <w:rsid w:val="00BD0202"/>
    <w:rsid w:val="00BD39E2"/>
    <w:rsid w:val="00BD3D07"/>
    <w:rsid w:val="00BE1700"/>
    <w:rsid w:val="00BE2620"/>
    <w:rsid w:val="00BE342A"/>
    <w:rsid w:val="00BE59E3"/>
    <w:rsid w:val="00BE66A9"/>
    <w:rsid w:val="00BF11A9"/>
    <w:rsid w:val="00BF2054"/>
    <w:rsid w:val="00BF3562"/>
    <w:rsid w:val="00BF3AF2"/>
    <w:rsid w:val="00BF405B"/>
    <w:rsid w:val="00BF5591"/>
    <w:rsid w:val="00BF5B6C"/>
    <w:rsid w:val="00BF6A08"/>
    <w:rsid w:val="00C033DE"/>
    <w:rsid w:val="00C03B53"/>
    <w:rsid w:val="00C10FED"/>
    <w:rsid w:val="00C1102A"/>
    <w:rsid w:val="00C115D7"/>
    <w:rsid w:val="00C12EDB"/>
    <w:rsid w:val="00C24F88"/>
    <w:rsid w:val="00C3278A"/>
    <w:rsid w:val="00C35F17"/>
    <w:rsid w:val="00C406EB"/>
    <w:rsid w:val="00C4374C"/>
    <w:rsid w:val="00C43F33"/>
    <w:rsid w:val="00C51399"/>
    <w:rsid w:val="00C548C1"/>
    <w:rsid w:val="00C5548A"/>
    <w:rsid w:val="00C56F4A"/>
    <w:rsid w:val="00C621F2"/>
    <w:rsid w:val="00C67C85"/>
    <w:rsid w:val="00C7412C"/>
    <w:rsid w:val="00C74FE2"/>
    <w:rsid w:val="00C75E5D"/>
    <w:rsid w:val="00C762FC"/>
    <w:rsid w:val="00C81401"/>
    <w:rsid w:val="00C817D8"/>
    <w:rsid w:val="00C818EB"/>
    <w:rsid w:val="00C82E8D"/>
    <w:rsid w:val="00C90048"/>
    <w:rsid w:val="00C92ED7"/>
    <w:rsid w:val="00C956A6"/>
    <w:rsid w:val="00CA55D3"/>
    <w:rsid w:val="00CA6019"/>
    <w:rsid w:val="00CB1709"/>
    <w:rsid w:val="00CB24A1"/>
    <w:rsid w:val="00CB29CB"/>
    <w:rsid w:val="00CB681E"/>
    <w:rsid w:val="00CB6C39"/>
    <w:rsid w:val="00CC2BAB"/>
    <w:rsid w:val="00CD32E2"/>
    <w:rsid w:val="00CD37F0"/>
    <w:rsid w:val="00CD3E0F"/>
    <w:rsid w:val="00CD7C48"/>
    <w:rsid w:val="00CE0CA6"/>
    <w:rsid w:val="00CE1316"/>
    <w:rsid w:val="00CE2452"/>
    <w:rsid w:val="00CF1BE3"/>
    <w:rsid w:val="00CF2B51"/>
    <w:rsid w:val="00CF38DC"/>
    <w:rsid w:val="00D007B0"/>
    <w:rsid w:val="00D00C32"/>
    <w:rsid w:val="00D024E5"/>
    <w:rsid w:val="00D06187"/>
    <w:rsid w:val="00D129D7"/>
    <w:rsid w:val="00D15588"/>
    <w:rsid w:val="00D17A88"/>
    <w:rsid w:val="00D202B6"/>
    <w:rsid w:val="00D22BCD"/>
    <w:rsid w:val="00D2695A"/>
    <w:rsid w:val="00D271B0"/>
    <w:rsid w:val="00D31386"/>
    <w:rsid w:val="00D32154"/>
    <w:rsid w:val="00D3710C"/>
    <w:rsid w:val="00D40464"/>
    <w:rsid w:val="00D41DA6"/>
    <w:rsid w:val="00D42B02"/>
    <w:rsid w:val="00D47A28"/>
    <w:rsid w:val="00D545DD"/>
    <w:rsid w:val="00D546F7"/>
    <w:rsid w:val="00D55C13"/>
    <w:rsid w:val="00D56C3C"/>
    <w:rsid w:val="00D57FBB"/>
    <w:rsid w:val="00D6081F"/>
    <w:rsid w:val="00D74EC0"/>
    <w:rsid w:val="00D752A3"/>
    <w:rsid w:val="00D7782D"/>
    <w:rsid w:val="00D8173E"/>
    <w:rsid w:val="00D83126"/>
    <w:rsid w:val="00D8611E"/>
    <w:rsid w:val="00D863B6"/>
    <w:rsid w:val="00D875CB"/>
    <w:rsid w:val="00D90C0A"/>
    <w:rsid w:val="00D918EC"/>
    <w:rsid w:val="00D96BAD"/>
    <w:rsid w:val="00D97BB6"/>
    <w:rsid w:val="00DA219D"/>
    <w:rsid w:val="00DA2E67"/>
    <w:rsid w:val="00DA3ECF"/>
    <w:rsid w:val="00DA4A10"/>
    <w:rsid w:val="00DB2E10"/>
    <w:rsid w:val="00DB4F13"/>
    <w:rsid w:val="00DC0F1A"/>
    <w:rsid w:val="00DC15FC"/>
    <w:rsid w:val="00DC5041"/>
    <w:rsid w:val="00DC5ED7"/>
    <w:rsid w:val="00DC78E7"/>
    <w:rsid w:val="00DD05CA"/>
    <w:rsid w:val="00DD1D9C"/>
    <w:rsid w:val="00DD40A8"/>
    <w:rsid w:val="00DD7D07"/>
    <w:rsid w:val="00DE0AD2"/>
    <w:rsid w:val="00DE12E6"/>
    <w:rsid w:val="00DE2A02"/>
    <w:rsid w:val="00DE5E9D"/>
    <w:rsid w:val="00DE77B8"/>
    <w:rsid w:val="00DF014E"/>
    <w:rsid w:val="00DF26D6"/>
    <w:rsid w:val="00DF37A0"/>
    <w:rsid w:val="00DF56B9"/>
    <w:rsid w:val="00E00F1E"/>
    <w:rsid w:val="00E0250E"/>
    <w:rsid w:val="00E10B1B"/>
    <w:rsid w:val="00E11763"/>
    <w:rsid w:val="00E12930"/>
    <w:rsid w:val="00E15FC9"/>
    <w:rsid w:val="00E1662C"/>
    <w:rsid w:val="00E16F97"/>
    <w:rsid w:val="00E17CF6"/>
    <w:rsid w:val="00E20132"/>
    <w:rsid w:val="00E2163D"/>
    <w:rsid w:val="00E2559D"/>
    <w:rsid w:val="00E322E1"/>
    <w:rsid w:val="00E34B07"/>
    <w:rsid w:val="00E42005"/>
    <w:rsid w:val="00E42F97"/>
    <w:rsid w:val="00E4514D"/>
    <w:rsid w:val="00E5128F"/>
    <w:rsid w:val="00E5253A"/>
    <w:rsid w:val="00E530F8"/>
    <w:rsid w:val="00E53DE4"/>
    <w:rsid w:val="00E622CC"/>
    <w:rsid w:val="00E62B6F"/>
    <w:rsid w:val="00E62E32"/>
    <w:rsid w:val="00E63353"/>
    <w:rsid w:val="00E65F4D"/>
    <w:rsid w:val="00E6654E"/>
    <w:rsid w:val="00E7069F"/>
    <w:rsid w:val="00E717D4"/>
    <w:rsid w:val="00E8079D"/>
    <w:rsid w:val="00E814B0"/>
    <w:rsid w:val="00E82394"/>
    <w:rsid w:val="00E85485"/>
    <w:rsid w:val="00E9233A"/>
    <w:rsid w:val="00E927CE"/>
    <w:rsid w:val="00E95EAB"/>
    <w:rsid w:val="00EA0623"/>
    <w:rsid w:val="00EB1450"/>
    <w:rsid w:val="00EB3704"/>
    <w:rsid w:val="00EB43B1"/>
    <w:rsid w:val="00EB5408"/>
    <w:rsid w:val="00EC5D75"/>
    <w:rsid w:val="00ED0B2C"/>
    <w:rsid w:val="00ED33D6"/>
    <w:rsid w:val="00ED4083"/>
    <w:rsid w:val="00ED451B"/>
    <w:rsid w:val="00ED5790"/>
    <w:rsid w:val="00ED5B46"/>
    <w:rsid w:val="00ED66B3"/>
    <w:rsid w:val="00ED7C60"/>
    <w:rsid w:val="00EE02B7"/>
    <w:rsid w:val="00EE11F5"/>
    <w:rsid w:val="00EE4742"/>
    <w:rsid w:val="00EE58CD"/>
    <w:rsid w:val="00EE5C50"/>
    <w:rsid w:val="00EE5F62"/>
    <w:rsid w:val="00EF3D9B"/>
    <w:rsid w:val="00F02541"/>
    <w:rsid w:val="00F049A6"/>
    <w:rsid w:val="00F07EB2"/>
    <w:rsid w:val="00F10FB3"/>
    <w:rsid w:val="00F14DE5"/>
    <w:rsid w:val="00F15CE8"/>
    <w:rsid w:val="00F16926"/>
    <w:rsid w:val="00F170DF"/>
    <w:rsid w:val="00F25791"/>
    <w:rsid w:val="00F273A6"/>
    <w:rsid w:val="00F310CA"/>
    <w:rsid w:val="00F32E9A"/>
    <w:rsid w:val="00F33E39"/>
    <w:rsid w:val="00F3472B"/>
    <w:rsid w:val="00F36691"/>
    <w:rsid w:val="00F367B6"/>
    <w:rsid w:val="00F37DD2"/>
    <w:rsid w:val="00F408E5"/>
    <w:rsid w:val="00F43551"/>
    <w:rsid w:val="00F4740C"/>
    <w:rsid w:val="00F47503"/>
    <w:rsid w:val="00F5126A"/>
    <w:rsid w:val="00F53B0D"/>
    <w:rsid w:val="00F55719"/>
    <w:rsid w:val="00F55724"/>
    <w:rsid w:val="00F573D4"/>
    <w:rsid w:val="00F60865"/>
    <w:rsid w:val="00F64771"/>
    <w:rsid w:val="00F66884"/>
    <w:rsid w:val="00F746C8"/>
    <w:rsid w:val="00F771CD"/>
    <w:rsid w:val="00F8342E"/>
    <w:rsid w:val="00F83B9B"/>
    <w:rsid w:val="00F85408"/>
    <w:rsid w:val="00F901F3"/>
    <w:rsid w:val="00F92507"/>
    <w:rsid w:val="00F939FB"/>
    <w:rsid w:val="00F94EB0"/>
    <w:rsid w:val="00F96872"/>
    <w:rsid w:val="00FA025A"/>
    <w:rsid w:val="00FA5917"/>
    <w:rsid w:val="00FA73E8"/>
    <w:rsid w:val="00FA7A2B"/>
    <w:rsid w:val="00FB1F8D"/>
    <w:rsid w:val="00FB52E5"/>
    <w:rsid w:val="00FC1FBD"/>
    <w:rsid w:val="00FC32BF"/>
    <w:rsid w:val="00FC3DF9"/>
    <w:rsid w:val="00FC62A8"/>
    <w:rsid w:val="00FD05B8"/>
    <w:rsid w:val="00FD1630"/>
    <w:rsid w:val="00FD341D"/>
    <w:rsid w:val="00FD3B0A"/>
    <w:rsid w:val="00FD7E5E"/>
    <w:rsid w:val="00FDD810"/>
    <w:rsid w:val="00FE0441"/>
    <w:rsid w:val="00FE0D25"/>
    <w:rsid w:val="00FE1185"/>
    <w:rsid w:val="00FE1725"/>
    <w:rsid w:val="00FE47EA"/>
    <w:rsid w:val="00FE58CA"/>
    <w:rsid w:val="00FE5A3B"/>
    <w:rsid w:val="00FE6E63"/>
    <w:rsid w:val="00FE79E1"/>
    <w:rsid w:val="00FF04FF"/>
    <w:rsid w:val="00FF2D1B"/>
    <w:rsid w:val="00FF2E2B"/>
    <w:rsid w:val="00FF50C5"/>
    <w:rsid w:val="00FF755C"/>
    <w:rsid w:val="0154CEC1"/>
    <w:rsid w:val="016C2203"/>
    <w:rsid w:val="01812E38"/>
    <w:rsid w:val="0209C1E5"/>
    <w:rsid w:val="0244BFB6"/>
    <w:rsid w:val="02860454"/>
    <w:rsid w:val="0298B50A"/>
    <w:rsid w:val="02E67F7F"/>
    <w:rsid w:val="03BE8B2C"/>
    <w:rsid w:val="048CF45A"/>
    <w:rsid w:val="04BD2F5E"/>
    <w:rsid w:val="055F2576"/>
    <w:rsid w:val="05F67F94"/>
    <w:rsid w:val="066E340A"/>
    <w:rsid w:val="076C51E9"/>
    <w:rsid w:val="077A3986"/>
    <w:rsid w:val="08AF3C94"/>
    <w:rsid w:val="09A265CB"/>
    <w:rsid w:val="09BCCB50"/>
    <w:rsid w:val="0B73964E"/>
    <w:rsid w:val="0BAF6D14"/>
    <w:rsid w:val="0C24A2FF"/>
    <w:rsid w:val="0C2F5F1C"/>
    <w:rsid w:val="0D0BCBB0"/>
    <w:rsid w:val="0D71A1AF"/>
    <w:rsid w:val="10486382"/>
    <w:rsid w:val="10578ED3"/>
    <w:rsid w:val="108F89EC"/>
    <w:rsid w:val="10C8C6C9"/>
    <w:rsid w:val="10F757E2"/>
    <w:rsid w:val="1101183B"/>
    <w:rsid w:val="121484AE"/>
    <w:rsid w:val="1309B03B"/>
    <w:rsid w:val="13B6034A"/>
    <w:rsid w:val="13EE40D7"/>
    <w:rsid w:val="140757F7"/>
    <w:rsid w:val="1517644F"/>
    <w:rsid w:val="15473FAE"/>
    <w:rsid w:val="15605C78"/>
    <w:rsid w:val="15E3A35B"/>
    <w:rsid w:val="15E44B43"/>
    <w:rsid w:val="15F5DD0D"/>
    <w:rsid w:val="16610FB7"/>
    <w:rsid w:val="16612DA8"/>
    <w:rsid w:val="16D6E13B"/>
    <w:rsid w:val="17DC715B"/>
    <w:rsid w:val="18266D75"/>
    <w:rsid w:val="1848C7C9"/>
    <w:rsid w:val="1855368C"/>
    <w:rsid w:val="18953B27"/>
    <w:rsid w:val="18F1D65D"/>
    <w:rsid w:val="1A3C1C27"/>
    <w:rsid w:val="1B08BE4A"/>
    <w:rsid w:val="1BD24144"/>
    <w:rsid w:val="1C8A2889"/>
    <w:rsid w:val="1D5A1AFC"/>
    <w:rsid w:val="1D7301D4"/>
    <w:rsid w:val="1D83347A"/>
    <w:rsid w:val="1DCA15A1"/>
    <w:rsid w:val="1DD2F281"/>
    <w:rsid w:val="1E0C6C36"/>
    <w:rsid w:val="1EF301CE"/>
    <w:rsid w:val="1F2A640E"/>
    <w:rsid w:val="2008818D"/>
    <w:rsid w:val="24B8F111"/>
    <w:rsid w:val="25B49DC7"/>
    <w:rsid w:val="269E5A5F"/>
    <w:rsid w:val="26B0D0E1"/>
    <w:rsid w:val="26DA39C2"/>
    <w:rsid w:val="2728E935"/>
    <w:rsid w:val="27584D6A"/>
    <w:rsid w:val="27646891"/>
    <w:rsid w:val="27AB23F0"/>
    <w:rsid w:val="284032D6"/>
    <w:rsid w:val="29625CC2"/>
    <w:rsid w:val="29BF77A2"/>
    <w:rsid w:val="2A7C3E27"/>
    <w:rsid w:val="2AF4DC85"/>
    <w:rsid w:val="2B867330"/>
    <w:rsid w:val="2BA68909"/>
    <w:rsid w:val="2CBBAE1D"/>
    <w:rsid w:val="2CD94007"/>
    <w:rsid w:val="2D08907C"/>
    <w:rsid w:val="2D477D3B"/>
    <w:rsid w:val="2D5D6229"/>
    <w:rsid w:val="2E78B85E"/>
    <w:rsid w:val="2E969CEC"/>
    <w:rsid w:val="2F5229EF"/>
    <w:rsid w:val="301F807D"/>
    <w:rsid w:val="30A5411E"/>
    <w:rsid w:val="31F7C161"/>
    <w:rsid w:val="3243AF4D"/>
    <w:rsid w:val="32ED2BA1"/>
    <w:rsid w:val="336A2189"/>
    <w:rsid w:val="33BAD92C"/>
    <w:rsid w:val="341ADCD0"/>
    <w:rsid w:val="3492E48F"/>
    <w:rsid w:val="34F31046"/>
    <w:rsid w:val="36C3E4C6"/>
    <w:rsid w:val="37405134"/>
    <w:rsid w:val="39499177"/>
    <w:rsid w:val="397AF06B"/>
    <w:rsid w:val="39BF7E04"/>
    <w:rsid w:val="39D6907D"/>
    <w:rsid w:val="3A5061E8"/>
    <w:rsid w:val="3A53F8CB"/>
    <w:rsid w:val="3B44B9E2"/>
    <w:rsid w:val="3B882BB2"/>
    <w:rsid w:val="3BD40B5E"/>
    <w:rsid w:val="3C198977"/>
    <w:rsid w:val="3CCABA3D"/>
    <w:rsid w:val="3CFEE8F4"/>
    <w:rsid w:val="3D6898F3"/>
    <w:rsid w:val="3DAB53BE"/>
    <w:rsid w:val="3E99A9B6"/>
    <w:rsid w:val="3FD5C400"/>
    <w:rsid w:val="41959A6D"/>
    <w:rsid w:val="41B496A0"/>
    <w:rsid w:val="42054E0E"/>
    <w:rsid w:val="420B2942"/>
    <w:rsid w:val="4280D1C9"/>
    <w:rsid w:val="4294EB1F"/>
    <w:rsid w:val="42DBB726"/>
    <w:rsid w:val="42FC98DF"/>
    <w:rsid w:val="44B1EC43"/>
    <w:rsid w:val="4504AAC4"/>
    <w:rsid w:val="46A7ADB9"/>
    <w:rsid w:val="48467A4A"/>
    <w:rsid w:val="48DA742B"/>
    <w:rsid w:val="4956DCB3"/>
    <w:rsid w:val="4971F661"/>
    <w:rsid w:val="49ABDA6C"/>
    <w:rsid w:val="4A06B7BA"/>
    <w:rsid w:val="4B134F1E"/>
    <w:rsid w:val="4B9832F6"/>
    <w:rsid w:val="4BB018BC"/>
    <w:rsid w:val="4C190559"/>
    <w:rsid w:val="4C4FA676"/>
    <w:rsid w:val="4CE09418"/>
    <w:rsid w:val="4CE38C2F"/>
    <w:rsid w:val="4D33606A"/>
    <w:rsid w:val="4D3EF68C"/>
    <w:rsid w:val="4E75DC19"/>
    <w:rsid w:val="4F3E7BA1"/>
    <w:rsid w:val="4F69833E"/>
    <w:rsid w:val="4F8A1240"/>
    <w:rsid w:val="50406BD0"/>
    <w:rsid w:val="5051F1C5"/>
    <w:rsid w:val="50972597"/>
    <w:rsid w:val="518E05D1"/>
    <w:rsid w:val="51E98ADC"/>
    <w:rsid w:val="5218AF51"/>
    <w:rsid w:val="521E514C"/>
    <w:rsid w:val="5312E163"/>
    <w:rsid w:val="543C4E14"/>
    <w:rsid w:val="54A1E9B1"/>
    <w:rsid w:val="54B62FB5"/>
    <w:rsid w:val="55B2F8E2"/>
    <w:rsid w:val="573025DC"/>
    <w:rsid w:val="573B07BF"/>
    <w:rsid w:val="576BC043"/>
    <w:rsid w:val="57891FB0"/>
    <w:rsid w:val="57C28D25"/>
    <w:rsid w:val="57D313DE"/>
    <w:rsid w:val="57EF6BAA"/>
    <w:rsid w:val="57FD0851"/>
    <w:rsid w:val="590AEE47"/>
    <w:rsid w:val="59586227"/>
    <w:rsid w:val="59B70FD8"/>
    <w:rsid w:val="59F45A83"/>
    <w:rsid w:val="5A40C0B3"/>
    <w:rsid w:val="5C807B10"/>
    <w:rsid w:val="5CFF4791"/>
    <w:rsid w:val="5D733291"/>
    <w:rsid w:val="5DF3B0B9"/>
    <w:rsid w:val="5E4E4561"/>
    <w:rsid w:val="5FE60844"/>
    <w:rsid w:val="609A0812"/>
    <w:rsid w:val="60ABA16B"/>
    <w:rsid w:val="60EB7862"/>
    <w:rsid w:val="61025224"/>
    <w:rsid w:val="6153A0C0"/>
    <w:rsid w:val="62D01117"/>
    <w:rsid w:val="632286E4"/>
    <w:rsid w:val="63759EEA"/>
    <w:rsid w:val="63C4C011"/>
    <w:rsid w:val="6479A33F"/>
    <w:rsid w:val="64EA726A"/>
    <w:rsid w:val="65EE236C"/>
    <w:rsid w:val="6728F364"/>
    <w:rsid w:val="679681FE"/>
    <w:rsid w:val="67E87DC5"/>
    <w:rsid w:val="68544833"/>
    <w:rsid w:val="68A2A75E"/>
    <w:rsid w:val="697164BA"/>
    <w:rsid w:val="699A9412"/>
    <w:rsid w:val="69F778C9"/>
    <w:rsid w:val="6AB3C0D0"/>
    <w:rsid w:val="6B834B9F"/>
    <w:rsid w:val="6B97A69A"/>
    <w:rsid w:val="6B9A9399"/>
    <w:rsid w:val="6BB24E2C"/>
    <w:rsid w:val="6BC1B143"/>
    <w:rsid w:val="6C3D2765"/>
    <w:rsid w:val="6CDDECCA"/>
    <w:rsid w:val="6E023EBB"/>
    <w:rsid w:val="6EDCEB35"/>
    <w:rsid w:val="6F08A20F"/>
    <w:rsid w:val="70663FEC"/>
    <w:rsid w:val="70A2A05F"/>
    <w:rsid w:val="728242FE"/>
    <w:rsid w:val="72FD7F3A"/>
    <w:rsid w:val="7370314E"/>
    <w:rsid w:val="73A10653"/>
    <w:rsid w:val="742F7C43"/>
    <w:rsid w:val="7485EBEA"/>
    <w:rsid w:val="753DB323"/>
    <w:rsid w:val="756CBA3E"/>
    <w:rsid w:val="75EE5882"/>
    <w:rsid w:val="76F38052"/>
    <w:rsid w:val="777595CD"/>
    <w:rsid w:val="7796323B"/>
    <w:rsid w:val="779D5CEB"/>
    <w:rsid w:val="77B584FA"/>
    <w:rsid w:val="77DC20A9"/>
    <w:rsid w:val="77E2641A"/>
    <w:rsid w:val="78B97775"/>
    <w:rsid w:val="795CDAA4"/>
    <w:rsid w:val="7962AA5E"/>
    <w:rsid w:val="7A6DD039"/>
    <w:rsid w:val="7A9E6430"/>
    <w:rsid w:val="7B6A1C42"/>
    <w:rsid w:val="7B766493"/>
    <w:rsid w:val="7C72951D"/>
    <w:rsid w:val="7CAD0654"/>
    <w:rsid w:val="7D005981"/>
    <w:rsid w:val="7D12A602"/>
    <w:rsid w:val="7D4E3690"/>
    <w:rsid w:val="7D9441A6"/>
    <w:rsid w:val="7DD997F3"/>
    <w:rsid w:val="7E2175A8"/>
    <w:rsid w:val="7E4EE9C0"/>
    <w:rsid w:val="7EA15C14"/>
    <w:rsid w:val="7F27A6A4"/>
    <w:rsid w:val="7F7A40D9"/>
    <w:rsid w:val="7FE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8114A"/>
  <w15:chartTrackingRefBased/>
  <w15:docId w15:val="{CF37ACE3-A769-42A6-8E41-94FE6CA2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13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02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No Spacing1,Numbered Paragraph,List Paragraph nowy,Bullet paras,Colorful List - Accent 11,Bullets,Body,Main numbered paragraph,List Paragraph (numbered (a)),References,List_Paragraph,Multilevel para_II,List Paragraph1,b"/>
    <w:basedOn w:val="Normal"/>
    <w:link w:val="ListParagraphChar"/>
    <w:uiPriority w:val="34"/>
    <w:qFormat/>
    <w:rsid w:val="001D2626"/>
    <w:pPr>
      <w:ind w:left="720"/>
      <w:contextualSpacing/>
    </w:pPr>
  </w:style>
  <w:style w:type="paragraph" w:customStyle="1" w:styleId="Default">
    <w:name w:val="Default"/>
    <w:rsid w:val="00A0647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F2054"/>
    <w:rPr>
      <w:color w:val="0563C1" w:themeColor="hyperlink"/>
      <w:u w:val="single"/>
    </w:rPr>
  </w:style>
  <w:style w:type="character" w:styleId="UnresolvedMention">
    <w:name w:val="Unresolved Mention"/>
    <w:basedOn w:val="DefaultParagraphFont"/>
    <w:uiPriority w:val="99"/>
    <w:semiHidden/>
    <w:unhideWhenUsed/>
    <w:rsid w:val="00BF2054"/>
    <w:rPr>
      <w:color w:val="605E5C"/>
      <w:shd w:val="clear" w:color="auto" w:fill="E1DFDD"/>
    </w:rPr>
  </w:style>
  <w:style w:type="character" w:customStyle="1" w:styleId="Heading2Char">
    <w:name w:val="Heading 2 Char"/>
    <w:basedOn w:val="DefaultParagraphFont"/>
    <w:link w:val="Heading2"/>
    <w:uiPriority w:val="9"/>
    <w:rsid w:val="006A1316"/>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585053"/>
    <w:rPr>
      <w:color w:val="2B579A"/>
      <w:shd w:val="clear" w:color="auto" w:fill="E1DFDD"/>
    </w:rPr>
  </w:style>
  <w:style w:type="character" w:customStyle="1" w:styleId="Heading3Char">
    <w:name w:val="Heading 3 Char"/>
    <w:basedOn w:val="DefaultParagraphFont"/>
    <w:link w:val="Heading3"/>
    <w:uiPriority w:val="9"/>
    <w:rsid w:val="0064026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8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5B"/>
  </w:style>
  <w:style w:type="paragraph" w:styleId="Footer">
    <w:name w:val="footer"/>
    <w:basedOn w:val="Normal"/>
    <w:link w:val="FooterChar"/>
    <w:uiPriority w:val="99"/>
    <w:unhideWhenUsed/>
    <w:rsid w:val="0038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5B"/>
  </w:style>
  <w:style w:type="character" w:customStyle="1" w:styleId="ListParagraphChar">
    <w:name w:val="List Paragraph Char"/>
    <w:aliases w:val="123 List Paragraph Char,No Spacing1 Char,Numbered Paragraph Char,List Paragraph nowy Char,Bullet paras Char,Colorful List - Accent 11 Char,Bullets Char,Body Char,Main numbered paragraph Char,List Paragraph (numbered (a)) Char,b Char"/>
    <w:basedOn w:val="DefaultParagraphFont"/>
    <w:link w:val="ListParagraph"/>
    <w:uiPriority w:val="34"/>
    <w:locked/>
    <w:rsid w:val="00117A56"/>
  </w:style>
  <w:style w:type="character" w:styleId="FollowedHyperlink">
    <w:name w:val="FollowedHyperlink"/>
    <w:basedOn w:val="DefaultParagraphFont"/>
    <w:uiPriority w:val="99"/>
    <w:semiHidden/>
    <w:unhideWhenUsed/>
    <w:rsid w:val="00295247"/>
    <w:rPr>
      <w:color w:val="954F72" w:themeColor="followedHyperlink"/>
      <w:u w:val="single"/>
    </w:rPr>
  </w:style>
  <w:style w:type="character" w:styleId="CommentReference">
    <w:name w:val="annotation reference"/>
    <w:basedOn w:val="DefaultParagraphFont"/>
    <w:uiPriority w:val="99"/>
    <w:semiHidden/>
    <w:unhideWhenUsed/>
    <w:rsid w:val="00774AA8"/>
    <w:rPr>
      <w:sz w:val="16"/>
      <w:szCs w:val="16"/>
    </w:rPr>
  </w:style>
  <w:style w:type="paragraph" w:styleId="CommentText">
    <w:name w:val="annotation text"/>
    <w:basedOn w:val="Normal"/>
    <w:link w:val="CommentTextChar"/>
    <w:uiPriority w:val="99"/>
    <w:semiHidden/>
    <w:unhideWhenUsed/>
    <w:rsid w:val="00774AA8"/>
    <w:pPr>
      <w:spacing w:line="240" w:lineRule="auto"/>
    </w:pPr>
    <w:rPr>
      <w:sz w:val="20"/>
      <w:szCs w:val="20"/>
    </w:rPr>
  </w:style>
  <w:style w:type="character" w:customStyle="1" w:styleId="CommentTextChar">
    <w:name w:val="Comment Text Char"/>
    <w:basedOn w:val="DefaultParagraphFont"/>
    <w:link w:val="CommentText"/>
    <w:uiPriority w:val="99"/>
    <w:semiHidden/>
    <w:rsid w:val="00774AA8"/>
    <w:rPr>
      <w:sz w:val="20"/>
      <w:szCs w:val="20"/>
    </w:rPr>
  </w:style>
  <w:style w:type="paragraph" w:styleId="CommentSubject">
    <w:name w:val="annotation subject"/>
    <w:basedOn w:val="CommentText"/>
    <w:next w:val="CommentText"/>
    <w:link w:val="CommentSubjectChar"/>
    <w:uiPriority w:val="99"/>
    <w:semiHidden/>
    <w:unhideWhenUsed/>
    <w:rsid w:val="00774AA8"/>
    <w:rPr>
      <w:b/>
      <w:bCs/>
    </w:rPr>
  </w:style>
  <w:style w:type="character" w:customStyle="1" w:styleId="CommentSubjectChar">
    <w:name w:val="Comment Subject Char"/>
    <w:basedOn w:val="CommentTextChar"/>
    <w:link w:val="CommentSubject"/>
    <w:uiPriority w:val="99"/>
    <w:semiHidden/>
    <w:rsid w:val="00774AA8"/>
    <w:rPr>
      <w:b/>
      <w:bCs/>
      <w:sz w:val="20"/>
      <w:szCs w:val="20"/>
    </w:rPr>
  </w:style>
  <w:style w:type="paragraph" w:customStyle="1" w:styleId="xmsolistparagraph">
    <w:name w:val="x_msolistparagraph"/>
    <w:basedOn w:val="Normal"/>
    <w:rsid w:val="00F25791"/>
    <w:pPr>
      <w:spacing w:after="0" w:line="240" w:lineRule="auto"/>
      <w:ind w:left="720"/>
    </w:pPr>
    <w:rPr>
      <w:rFonts w:ascii="Calibri" w:hAnsi="Calibri" w:cs="Calibri"/>
    </w:rPr>
  </w:style>
  <w:style w:type="character" w:customStyle="1" w:styleId="normaltextrun">
    <w:name w:val="normaltextrun"/>
    <w:basedOn w:val="DefaultParagraphFont"/>
    <w:rsid w:val="0032303E"/>
  </w:style>
  <w:style w:type="table" w:styleId="TableGrid">
    <w:name w:val="Table Grid"/>
    <w:basedOn w:val="TableNormal"/>
    <w:uiPriority w:val="39"/>
    <w:rsid w:val="00BF4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0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1512">
      <w:bodyDiv w:val="1"/>
      <w:marLeft w:val="0"/>
      <w:marRight w:val="0"/>
      <w:marTop w:val="0"/>
      <w:marBottom w:val="0"/>
      <w:divBdr>
        <w:top w:val="none" w:sz="0" w:space="0" w:color="auto"/>
        <w:left w:val="none" w:sz="0" w:space="0" w:color="auto"/>
        <w:bottom w:val="none" w:sz="0" w:space="0" w:color="auto"/>
        <w:right w:val="none" w:sz="0" w:space="0" w:color="auto"/>
      </w:divBdr>
    </w:div>
    <w:div w:id="637876198">
      <w:bodyDiv w:val="1"/>
      <w:marLeft w:val="0"/>
      <w:marRight w:val="0"/>
      <w:marTop w:val="0"/>
      <w:marBottom w:val="0"/>
      <w:divBdr>
        <w:top w:val="none" w:sz="0" w:space="0" w:color="auto"/>
        <w:left w:val="none" w:sz="0" w:space="0" w:color="auto"/>
        <w:bottom w:val="none" w:sz="0" w:space="0" w:color="auto"/>
        <w:right w:val="none" w:sz="0" w:space="0" w:color="auto"/>
      </w:divBdr>
    </w:div>
    <w:div w:id="700324898">
      <w:bodyDiv w:val="1"/>
      <w:marLeft w:val="0"/>
      <w:marRight w:val="0"/>
      <w:marTop w:val="0"/>
      <w:marBottom w:val="0"/>
      <w:divBdr>
        <w:top w:val="none" w:sz="0" w:space="0" w:color="auto"/>
        <w:left w:val="none" w:sz="0" w:space="0" w:color="auto"/>
        <w:bottom w:val="none" w:sz="0" w:space="0" w:color="auto"/>
        <w:right w:val="none" w:sz="0" w:space="0" w:color="auto"/>
      </w:divBdr>
    </w:div>
    <w:div w:id="989015771">
      <w:bodyDiv w:val="1"/>
      <w:marLeft w:val="0"/>
      <w:marRight w:val="0"/>
      <w:marTop w:val="0"/>
      <w:marBottom w:val="0"/>
      <w:divBdr>
        <w:top w:val="none" w:sz="0" w:space="0" w:color="auto"/>
        <w:left w:val="none" w:sz="0" w:space="0" w:color="auto"/>
        <w:bottom w:val="none" w:sz="0" w:space="0" w:color="auto"/>
        <w:right w:val="none" w:sz="0" w:space="0" w:color="auto"/>
      </w:divBdr>
    </w:div>
    <w:div w:id="1138450228">
      <w:bodyDiv w:val="1"/>
      <w:marLeft w:val="0"/>
      <w:marRight w:val="0"/>
      <w:marTop w:val="0"/>
      <w:marBottom w:val="0"/>
      <w:divBdr>
        <w:top w:val="none" w:sz="0" w:space="0" w:color="auto"/>
        <w:left w:val="none" w:sz="0" w:space="0" w:color="auto"/>
        <w:bottom w:val="none" w:sz="0" w:space="0" w:color="auto"/>
        <w:right w:val="none" w:sz="0" w:space="0" w:color="auto"/>
      </w:divBdr>
    </w:div>
    <w:div w:id="1332176283">
      <w:bodyDiv w:val="1"/>
      <w:marLeft w:val="0"/>
      <w:marRight w:val="0"/>
      <w:marTop w:val="0"/>
      <w:marBottom w:val="0"/>
      <w:divBdr>
        <w:top w:val="none" w:sz="0" w:space="0" w:color="auto"/>
        <w:left w:val="none" w:sz="0" w:space="0" w:color="auto"/>
        <w:bottom w:val="none" w:sz="0" w:space="0" w:color="auto"/>
        <w:right w:val="none" w:sz="0" w:space="0" w:color="auto"/>
      </w:divBdr>
    </w:div>
    <w:div w:id="1387606874">
      <w:bodyDiv w:val="1"/>
      <w:marLeft w:val="0"/>
      <w:marRight w:val="0"/>
      <w:marTop w:val="0"/>
      <w:marBottom w:val="0"/>
      <w:divBdr>
        <w:top w:val="none" w:sz="0" w:space="0" w:color="auto"/>
        <w:left w:val="none" w:sz="0" w:space="0" w:color="auto"/>
        <w:bottom w:val="none" w:sz="0" w:space="0" w:color="auto"/>
        <w:right w:val="none" w:sz="0" w:space="0" w:color="auto"/>
      </w:divBdr>
    </w:div>
    <w:div w:id="1404328808">
      <w:bodyDiv w:val="1"/>
      <w:marLeft w:val="0"/>
      <w:marRight w:val="0"/>
      <w:marTop w:val="0"/>
      <w:marBottom w:val="0"/>
      <w:divBdr>
        <w:top w:val="none" w:sz="0" w:space="0" w:color="auto"/>
        <w:left w:val="none" w:sz="0" w:space="0" w:color="auto"/>
        <w:bottom w:val="none" w:sz="0" w:space="0" w:color="auto"/>
        <w:right w:val="none" w:sz="0" w:space="0" w:color="auto"/>
      </w:divBdr>
    </w:div>
    <w:div w:id="1526020897">
      <w:bodyDiv w:val="1"/>
      <w:marLeft w:val="0"/>
      <w:marRight w:val="0"/>
      <w:marTop w:val="0"/>
      <w:marBottom w:val="0"/>
      <w:divBdr>
        <w:top w:val="none" w:sz="0" w:space="0" w:color="auto"/>
        <w:left w:val="none" w:sz="0" w:space="0" w:color="auto"/>
        <w:bottom w:val="none" w:sz="0" w:space="0" w:color="auto"/>
        <w:right w:val="none" w:sz="0" w:space="0" w:color="auto"/>
      </w:divBdr>
    </w:div>
    <w:div w:id="1614283611">
      <w:bodyDiv w:val="1"/>
      <w:marLeft w:val="0"/>
      <w:marRight w:val="0"/>
      <w:marTop w:val="0"/>
      <w:marBottom w:val="0"/>
      <w:divBdr>
        <w:top w:val="none" w:sz="0" w:space="0" w:color="auto"/>
        <w:left w:val="none" w:sz="0" w:space="0" w:color="auto"/>
        <w:bottom w:val="none" w:sz="0" w:space="0" w:color="auto"/>
        <w:right w:val="none" w:sz="0" w:space="0" w:color="auto"/>
      </w:divBdr>
    </w:div>
    <w:div w:id="1743869264">
      <w:bodyDiv w:val="1"/>
      <w:marLeft w:val="0"/>
      <w:marRight w:val="0"/>
      <w:marTop w:val="0"/>
      <w:marBottom w:val="0"/>
      <w:divBdr>
        <w:top w:val="none" w:sz="0" w:space="0" w:color="auto"/>
        <w:left w:val="none" w:sz="0" w:space="0" w:color="auto"/>
        <w:bottom w:val="none" w:sz="0" w:space="0" w:color="auto"/>
        <w:right w:val="none" w:sz="0" w:space="0" w:color="auto"/>
      </w:divBdr>
    </w:div>
    <w:div w:id="1778522549">
      <w:bodyDiv w:val="1"/>
      <w:marLeft w:val="0"/>
      <w:marRight w:val="0"/>
      <w:marTop w:val="0"/>
      <w:marBottom w:val="0"/>
      <w:divBdr>
        <w:top w:val="none" w:sz="0" w:space="0" w:color="auto"/>
        <w:left w:val="none" w:sz="0" w:space="0" w:color="auto"/>
        <w:bottom w:val="none" w:sz="0" w:space="0" w:color="auto"/>
        <w:right w:val="none" w:sz="0" w:space="0" w:color="auto"/>
      </w:divBdr>
    </w:div>
    <w:div w:id="18013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worldbank.org/en/projects-operations/document-detail/P178946?type=projects" TargetMode="External"/><Relationship Id="rId13" Type="http://schemas.openxmlformats.org/officeDocument/2006/relationships/hyperlink" Target="https://documents1.worldbank.org/curated/en/099845006292218072/pdf/P17894606066740da0bbe7027b4eb89ce1a.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jects.worldbank.org/en/projects-operations/document-detail/P178946?type=projects" TargetMode="External"/><Relationship Id="rId17" Type="http://schemas.openxmlformats.org/officeDocument/2006/relationships/hyperlink" Target="https://thedocs.worldbank.org/en/doc/813001586360657813-0060022020/render/DPCFAQs.pdf" TargetMode="External"/><Relationship Id="rId2" Type="http://schemas.openxmlformats.org/officeDocument/2006/relationships/numbering" Target="numbering.xml"/><Relationship Id="rId16" Type="http://schemas.openxmlformats.org/officeDocument/2006/relationships/hyperlink" Target="https://thedocs.worldbank.org/en/doc/448b37c5ab031f2645de278e5ef39c24-0060072021/original/DP-Guide-2021-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fdocuments.azureedge.net/e86b011b-f05d-494f-af33-d3f822761189.pdf" TargetMode="External"/><Relationship Id="rId5" Type="http://schemas.openxmlformats.org/officeDocument/2006/relationships/webSettings" Target="webSettings.xml"/><Relationship Id="rId15" Type="http://schemas.openxmlformats.org/officeDocument/2006/relationships/hyperlink" Target="https://documents1.worldbank.org/curated/en/099640107062237847/pdf/P1789460384d610fe097d20316facf1ee32.pdf" TargetMode="External"/><Relationship Id="rId10" Type="http://schemas.openxmlformats.org/officeDocument/2006/relationships/hyperlink" Target="https://documents.worldbank.org/en/publication/documents-reports/documentdetail/099845006292218072/p17894606066740da0bbe7027b4eb89ce1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worldbank.org/en/publication/documents-reports/documentdetail/099845006292218072/p17894606066740da0bbe7027b4eb89ce1a" TargetMode="External"/><Relationship Id="rId14" Type="http://schemas.openxmlformats.org/officeDocument/2006/relationships/hyperlink" Target="https://documents1.worldbank.org/curated/en/099640107062237847/pdf/P1789460384d610fe097d20316facf1ee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49AB-DE31-45B0-8728-5D4D663A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2989</Words>
  <Characters>17038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Links>
    <vt:vector size="60" baseType="variant">
      <vt:variant>
        <vt:i4>2031646</vt:i4>
      </vt:variant>
      <vt:variant>
        <vt:i4>27</vt:i4>
      </vt:variant>
      <vt:variant>
        <vt:i4>0</vt:i4>
      </vt:variant>
      <vt:variant>
        <vt:i4>5</vt:i4>
      </vt:variant>
      <vt:variant>
        <vt:lpwstr>https://thedocs.worldbank.org/en/doc/813001586360657813-0060022020/render/DPCFAQs.pdf</vt:lpwstr>
      </vt:variant>
      <vt:variant>
        <vt:lpwstr/>
      </vt:variant>
      <vt:variant>
        <vt:i4>458780</vt:i4>
      </vt:variant>
      <vt:variant>
        <vt:i4>24</vt:i4>
      </vt:variant>
      <vt:variant>
        <vt:i4>0</vt:i4>
      </vt:variant>
      <vt:variant>
        <vt:i4>5</vt:i4>
      </vt:variant>
      <vt:variant>
        <vt:lpwstr>https://thedocs.worldbank.org/en/doc/448b37c5ab031f2645de278e5ef39c24-0060072021/original/DP-Guide-2021-FINAL.pdf</vt:lpwstr>
      </vt:variant>
      <vt:variant>
        <vt:lpwstr/>
      </vt:variant>
      <vt:variant>
        <vt:i4>2162720</vt:i4>
      </vt:variant>
      <vt:variant>
        <vt:i4>21</vt:i4>
      </vt:variant>
      <vt:variant>
        <vt:i4>0</vt:i4>
      </vt:variant>
      <vt:variant>
        <vt:i4>5</vt:i4>
      </vt:variant>
      <vt:variant>
        <vt:lpwstr>https://documents1.worldbank.org/curated/en/099640107062237847/pdf/P1789460384d610fe097d20316facf1ee32.pdf</vt:lpwstr>
      </vt:variant>
      <vt:variant>
        <vt:lpwstr/>
      </vt:variant>
      <vt:variant>
        <vt:i4>2162720</vt:i4>
      </vt:variant>
      <vt:variant>
        <vt:i4>18</vt:i4>
      </vt:variant>
      <vt:variant>
        <vt:i4>0</vt:i4>
      </vt:variant>
      <vt:variant>
        <vt:i4>5</vt:i4>
      </vt:variant>
      <vt:variant>
        <vt:lpwstr>https://documents1.worldbank.org/curated/en/099640107062237847/pdf/P1789460384d610fe097d20316facf1ee32.pdf</vt:lpwstr>
      </vt:variant>
      <vt:variant>
        <vt:lpwstr/>
      </vt:variant>
      <vt:variant>
        <vt:i4>7405605</vt:i4>
      </vt:variant>
      <vt:variant>
        <vt:i4>15</vt:i4>
      </vt:variant>
      <vt:variant>
        <vt:i4>0</vt:i4>
      </vt:variant>
      <vt:variant>
        <vt:i4>5</vt:i4>
      </vt:variant>
      <vt:variant>
        <vt:lpwstr>https://documents1.worldbank.org/curated/en/099845006292218072/pdf/P17894606066740da0bbe7027b4eb89ce1a.pdf</vt:lpwstr>
      </vt:variant>
      <vt:variant>
        <vt:lpwstr/>
      </vt:variant>
      <vt:variant>
        <vt:i4>3539056</vt:i4>
      </vt:variant>
      <vt:variant>
        <vt:i4>12</vt:i4>
      </vt:variant>
      <vt:variant>
        <vt:i4>0</vt:i4>
      </vt:variant>
      <vt:variant>
        <vt:i4>5</vt:i4>
      </vt:variant>
      <vt:variant>
        <vt:lpwstr>https://projects.worldbank.org/en/projects-operations/document-detail/P178946?type=projects</vt:lpwstr>
      </vt:variant>
      <vt:variant>
        <vt:lpwstr/>
      </vt:variant>
      <vt:variant>
        <vt:i4>7012413</vt:i4>
      </vt:variant>
      <vt:variant>
        <vt:i4>9</vt:i4>
      </vt:variant>
      <vt:variant>
        <vt:i4>0</vt:i4>
      </vt:variant>
      <vt:variant>
        <vt:i4>5</vt:i4>
      </vt:variant>
      <vt:variant>
        <vt:lpwstr>https://ppfdocuments.azureedge.net/e86b011b-f05d-494f-af33-d3f822761189.pdf</vt:lpwstr>
      </vt:variant>
      <vt:variant>
        <vt:lpwstr/>
      </vt:variant>
      <vt:variant>
        <vt:i4>7274549</vt:i4>
      </vt:variant>
      <vt:variant>
        <vt:i4>6</vt:i4>
      </vt:variant>
      <vt:variant>
        <vt:i4>0</vt:i4>
      </vt:variant>
      <vt:variant>
        <vt:i4>5</vt:i4>
      </vt:variant>
      <vt:variant>
        <vt:lpwstr>https://documents.worldbank.org/en/publication/documents-reports/documentdetail/099845006292218072/p17894606066740da0bbe7027b4eb89ce1a</vt:lpwstr>
      </vt:variant>
      <vt:variant>
        <vt:lpwstr/>
      </vt:variant>
      <vt:variant>
        <vt:i4>7274549</vt:i4>
      </vt:variant>
      <vt:variant>
        <vt:i4>3</vt:i4>
      </vt:variant>
      <vt:variant>
        <vt:i4>0</vt:i4>
      </vt:variant>
      <vt:variant>
        <vt:i4>5</vt:i4>
      </vt:variant>
      <vt:variant>
        <vt:lpwstr>https://documents.worldbank.org/en/publication/documents-reports/documentdetail/099845006292218072/p17894606066740da0bbe7027b4eb89ce1a</vt:lpwstr>
      </vt:variant>
      <vt:variant>
        <vt:lpwstr/>
      </vt:variant>
      <vt:variant>
        <vt:i4>3539056</vt:i4>
      </vt:variant>
      <vt:variant>
        <vt:i4>0</vt:i4>
      </vt:variant>
      <vt:variant>
        <vt:i4>0</vt:i4>
      </vt:variant>
      <vt:variant>
        <vt:i4>5</vt:i4>
      </vt:variant>
      <vt:variant>
        <vt:lpwstr>https://projects.worldbank.org/en/projects-operations/document-detail/P178946?type=projects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 Newman</dc:creator>
  <cp:keywords/>
  <dc:description/>
  <cp:lastModifiedBy>Cap Tim - D2.2</cp:lastModifiedBy>
  <cp:revision>2</cp:revision>
  <dcterms:created xsi:type="dcterms:W3CDTF">2022-07-11T10:10:00Z</dcterms:created>
  <dcterms:modified xsi:type="dcterms:W3CDTF">2022-07-11T10:10:00Z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2022-07-11T10:09:28Z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9e1109ff-bc7c-4a40-b2d9-c8cca304a27f</vt:lpwstr>
  </property>
  <property fmtid="{D5CDD505-2E9C-101B-9397-08002B2CF9AE}" pid="8" name="MSIP_Label_dddc1db8-2f64-468c-a02a-c7d04ea19826_ContentBits">
    <vt:lpwstr>0</vt:lpwstr>
  </property>
</Properties>
</file>