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5535A" w:rsidRDefault="0055535A" w:rsidP="0055535A">
      <w:pPr>
        <w:pStyle w:val="CTBGrandtitre"/>
        <w:spacing w:before="1440"/>
        <w:jc w:val="center"/>
        <w:rPr>
          <w:sz w:val="56"/>
          <w:szCs w:val="56"/>
        </w:rPr>
      </w:pPr>
      <w:r>
        <w:rPr>
          <w:noProof/>
          <w:lang w:val="fr-BE" w:eastAsia="fr-BE"/>
        </w:rPr>
        <mc:AlternateContent>
          <mc:Choice Requires="wps">
            <w:drawing>
              <wp:anchor distT="0" distB="0" distL="114300" distR="114300" simplePos="0" relativeHeight="251657216" behindDoc="0" locked="0" layoutInCell="1" allowOverlap="1">
                <wp:simplePos x="0" y="0"/>
                <wp:positionH relativeFrom="column">
                  <wp:posOffset>3992880</wp:posOffset>
                </wp:positionH>
                <wp:positionV relativeFrom="paragraph">
                  <wp:posOffset>-168910</wp:posOffset>
                </wp:positionV>
                <wp:extent cx="2543175" cy="2647950"/>
                <wp:effectExtent l="0" t="0" r="952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647950"/>
                        </a:xfrm>
                        <a:prstGeom prst="rect">
                          <a:avLst/>
                        </a:prstGeom>
                        <a:solidFill>
                          <a:srgbClr val="FFFFFF"/>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5E7472" w:rsidRDefault="005E7472" w:rsidP="0055535A"/>
                          <w:p w:rsidR="005E7472" w:rsidRDefault="005E7472" w:rsidP="0055535A"/>
                          <w:p w:rsidR="005E7472" w:rsidRDefault="005E7472" w:rsidP="0055535A">
                            <w:pPr>
                              <w:jc w:val="center"/>
                            </w:pPr>
                            <w:r>
                              <w:rPr>
                                <w:b/>
                                <w:sz w:val="22"/>
                                <w:szCs w:val="22"/>
                              </w:rPr>
                              <w:t>REPUBLIQUE DU BURUNDI MINISTERE DE LA SANTE PUBLIQUE ET DE LA LUTTE CONTRE LE SIDA</w:t>
                            </w:r>
                            <w:r>
                              <w:rPr>
                                <w:rFonts w:cs="Arial"/>
                                <w:b/>
                                <w:noProof/>
                                <w:sz w:val="28"/>
                                <w:szCs w:val="28"/>
                                <w:lang w:eastAsia="fr-BE"/>
                              </w:rPr>
                              <w:t xml:space="preserve"> </w:t>
                            </w:r>
                            <w:r>
                              <w:rPr>
                                <w:rFonts w:ascii="Times New Roman" w:hAnsi="Times New Roman"/>
                                <w:noProof/>
                                <w:kern w:val="0"/>
                                <w:sz w:val="20"/>
                                <w:szCs w:val="20"/>
                                <w:lang w:val="fr-BE" w:eastAsia="fr-BE"/>
                              </w:rPr>
                              <w:drawing>
                                <wp:inline distT="0" distB="0" distL="0" distR="0">
                                  <wp:extent cx="1236345" cy="112649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8">
                                            <a:extLst>
                                              <a:ext uri="{28A0092B-C50C-407E-A947-70E740481C1C}">
                                                <a14:useLocalDpi xmlns:a14="http://schemas.microsoft.com/office/drawing/2010/main" val="0"/>
                                              </a:ext>
                                            </a:extLst>
                                          </a:blip>
                                          <a:srcRect t="10434" b="1247"/>
                                          <a:stretch>
                                            <a:fillRect/>
                                          </a:stretch>
                                        </pic:blipFill>
                                        <pic:spPr bwMode="auto">
                                          <a:xfrm>
                                            <a:off x="0" y="0"/>
                                            <a:ext cx="1236345" cy="112649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26" type="#_x0000_t202" style="position:absolute;left:0;text-align:left;margin-left:314.4pt;margin-top:-13.3pt;width:200.25pt;height:2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" stroked="f" strokecolor="silver" strokeweight=".25pt">
                <v:textbox>
                  <w:txbxContent>
                    <w:p w:rsidR="005E7472" w:rsidRDefault="005E7472" w:rsidP="0055535A"/>
                    <w:p w:rsidR="005E7472" w:rsidRDefault="005E7472" w:rsidP="0055535A"/>
                    <w:p w:rsidR="005E7472" w:rsidRDefault="005E7472" w:rsidP="0055535A">
                      <w:pPr>
                        <w:jc w:val="center"/>
                      </w:pPr>
                      <w:r>
                        <w:rPr>
                          <w:b/>
                          <w:sz w:val="22"/>
                          <w:szCs w:val="22"/>
                        </w:rPr>
                        <w:t>REPUBLIQUE DU BURUNDI MINISTERE DE LA SANTE PUBLIQUE ET DE LA LUTTE CONTRE LE SIDA</w:t>
                      </w:r>
                      <w:r>
                        <w:rPr>
                          <w:rFonts w:cs="Arial"/>
                          <w:b/>
                          <w:noProof/>
                          <w:sz w:val="28"/>
                          <w:szCs w:val="28"/>
                          <w:lang w:eastAsia="fr-BE"/>
                        </w:rPr>
                        <w:t xml:space="preserve"> </w:t>
                      </w:r>
                      <w:r>
                        <w:rPr>
                          <w:rFonts w:ascii="Times New Roman" w:hAnsi="Times New Roman"/>
                          <w:noProof/>
                          <w:kern w:val="0"/>
                          <w:sz w:val="20"/>
                          <w:szCs w:val="20"/>
                          <w:lang w:val="fr-BE" w:eastAsia="fr-BE"/>
                        </w:rPr>
                        <w:drawing>
                          <wp:inline distT="0" distB="0" distL="0" distR="0">
                            <wp:extent cx="1236345" cy="1126490"/>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9">
                                      <a:extLst>
                                        <a:ext uri="{28A0092B-C50C-407E-A947-70E740481C1C}">
                                          <a14:useLocalDpi xmlns:a14="http://schemas.microsoft.com/office/drawing/2010/main" val="0"/>
                                        </a:ext>
                                      </a:extLst>
                                    </a:blip>
                                    <a:srcRect t="10434" b="1247"/>
                                    <a:stretch>
                                      <a:fillRect/>
                                    </a:stretch>
                                  </pic:blipFill>
                                  <pic:spPr bwMode="auto">
                                    <a:xfrm>
                                      <a:off x="0" y="0"/>
                                      <a:ext cx="1236345" cy="1126490"/>
                                    </a:xfrm>
                                    <a:prstGeom prst="rect">
                                      <a:avLst/>
                                    </a:prstGeom>
                                    <a:solidFill>
                                      <a:srgbClr val="FFFFFF"/>
                                    </a:solidFill>
                                    <a:ln>
                                      <a:noFill/>
                                    </a:ln>
                                  </pic:spPr>
                                </pic:pic>
                              </a:graphicData>
                            </a:graphic>
                          </wp:inline>
                        </w:drawing>
                      </w:r>
                    </w:p>
                  </w:txbxContent>
                </v:textbox>
              </v:shape>
            </w:pict>
          </mc:Fallback>
        </mc:AlternateContent>
      </w:r>
      <w:bookmarkStart w:id="1" w:name="Titre_Signet"/>
      <w:bookmarkStart w:id="2" w:name="Sous_titre_Signet"/>
      <w:r>
        <w:rPr>
          <w:noProof/>
          <w:lang w:val="fr-BE" w:eastAsia="fr-BE"/>
        </w:rPr>
        <w:drawing>
          <wp:anchor distT="0" distB="0" distL="114300" distR="114300" simplePos="0" relativeHeight="251658240" behindDoc="0" locked="0" layoutInCell="1" allowOverlap="1">
            <wp:simplePos x="0" y="0"/>
            <wp:positionH relativeFrom="column">
              <wp:posOffset>378460</wp:posOffset>
            </wp:positionH>
            <wp:positionV relativeFrom="paragraph">
              <wp:posOffset>607060</wp:posOffset>
            </wp:positionV>
            <wp:extent cx="2886075" cy="917575"/>
            <wp:effectExtent l="0" t="0" r="9525" b="0"/>
            <wp:wrapTopAndBottom/>
            <wp:docPr id="16" name="Image 16" descr="Description : _RAP_C_CTB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_RAP_C_CTB_FR"/>
                    <pic:cNvPicPr>
                      <a:picLocks noChangeAspect="1" noChangeArrowheads="1"/>
                    </pic:cNvPicPr>
                  </pic:nvPicPr>
                  <pic:blipFill>
                    <a:blip r:embed="rId10">
                      <a:extLst>
                        <a:ext uri="{28A0092B-C50C-407E-A947-70E740481C1C}">
                          <a14:useLocalDpi xmlns:a14="http://schemas.microsoft.com/office/drawing/2010/main" val="0"/>
                        </a:ext>
                      </a:extLst>
                    </a:blip>
                    <a:srcRect r="57800"/>
                    <a:stretch>
                      <a:fillRect/>
                    </a:stretch>
                  </pic:blipFill>
                  <pic:spPr bwMode="auto">
                    <a:xfrm>
                      <a:off x="0" y="0"/>
                      <a:ext cx="2886075" cy="917575"/>
                    </a:xfrm>
                    <a:prstGeom prst="rect">
                      <a:avLst/>
                    </a:prstGeom>
                    <a:noFill/>
                  </pic:spPr>
                </pic:pic>
              </a:graphicData>
            </a:graphic>
            <wp14:sizeRelH relativeFrom="page">
              <wp14:pctWidth>0</wp14:pctWidth>
            </wp14:sizeRelH>
            <wp14:sizeRelV relativeFrom="page">
              <wp14:pctHeight>0</wp14:pctHeight>
            </wp14:sizeRelV>
          </wp:anchor>
        </w:drawing>
      </w:r>
      <w:r>
        <w:rPr>
          <w:sz w:val="56"/>
          <w:szCs w:val="56"/>
        </w:rPr>
        <w:t>Rapport des Résultats </w:t>
      </w:r>
    </w:p>
    <w:p w:rsidR="0055535A" w:rsidRDefault="0055535A" w:rsidP="0055535A">
      <w:pPr>
        <w:pStyle w:val="CTBGrandtitre"/>
        <w:tabs>
          <w:tab w:val="center" w:pos="5925"/>
          <w:tab w:val="right" w:pos="10348"/>
        </w:tabs>
        <w:spacing w:before="0"/>
        <w:rPr>
          <w:sz w:val="56"/>
          <w:szCs w:val="56"/>
        </w:rPr>
      </w:pPr>
      <w:r>
        <w:rPr>
          <w:sz w:val="56"/>
          <w:szCs w:val="56"/>
        </w:rPr>
        <w:tab/>
        <w:t>2016</w:t>
      </w:r>
      <w:r>
        <w:rPr>
          <w:sz w:val="56"/>
          <w:szCs w:val="56"/>
        </w:rPr>
        <w:tab/>
      </w:r>
    </w:p>
    <w:p w:rsidR="0055535A" w:rsidRDefault="0055535A" w:rsidP="0055535A">
      <w:pPr>
        <w:pStyle w:val="CTBSoustitre"/>
        <w:rPr>
          <w:sz w:val="32"/>
          <w:szCs w:val="32"/>
        </w:rPr>
      </w:pPr>
    </w:p>
    <w:bookmarkEnd w:id="1"/>
    <w:bookmarkEnd w:id="2"/>
    <w:p w:rsidR="0055535A" w:rsidRDefault="0055535A" w:rsidP="0055535A">
      <w:pPr>
        <w:pStyle w:val="CTBSoustitre"/>
        <w:jc w:val="center"/>
        <w:rPr>
          <w:sz w:val="48"/>
          <w:szCs w:val="48"/>
        </w:rPr>
      </w:pPr>
      <w:r>
        <w:rPr>
          <w:sz w:val="48"/>
          <w:szCs w:val="48"/>
        </w:rPr>
        <w:t xml:space="preserve">Programme </w:t>
      </w:r>
    </w:p>
    <w:p w:rsidR="0055535A" w:rsidRDefault="0055535A" w:rsidP="0055535A">
      <w:pPr>
        <w:pStyle w:val="CTBSoustitre"/>
        <w:jc w:val="center"/>
        <w:rPr>
          <w:sz w:val="48"/>
          <w:szCs w:val="48"/>
        </w:rPr>
      </w:pPr>
      <w:r>
        <w:rPr>
          <w:sz w:val="48"/>
          <w:szCs w:val="48"/>
        </w:rPr>
        <w:t xml:space="preserve">d’appui institutionnel </w:t>
      </w:r>
    </w:p>
    <w:p w:rsidR="0055535A" w:rsidRDefault="0055535A" w:rsidP="0055535A">
      <w:pPr>
        <w:pStyle w:val="CTBSoustitre"/>
        <w:jc w:val="center"/>
        <w:rPr>
          <w:sz w:val="48"/>
          <w:szCs w:val="48"/>
        </w:rPr>
      </w:pPr>
      <w:r>
        <w:rPr>
          <w:sz w:val="48"/>
          <w:szCs w:val="48"/>
        </w:rPr>
        <w:t xml:space="preserve">au secteur de la Sante </w:t>
      </w:r>
    </w:p>
    <w:p w:rsidR="0055535A" w:rsidRDefault="0055535A" w:rsidP="0055535A">
      <w:pPr>
        <w:pStyle w:val="CTBSoustitre"/>
        <w:jc w:val="center"/>
        <w:rPr>
          <w:sz w:val="48"/>
          <w:szCs w:val="48"/>
        </w:rPr>
      </w:pPr>
      <w:r>
        <w:rPr>
          <w:sz w:val="48"/>
          <w:szCs w:val="48"/>
        </w:rPr>
        <w:t>burundi</w:t>
      </w:r>
    </w:p>
    <w:p w:rsidR="0055535A" w:rsidRDefault="0055535A" w:rsidP="0055535A"/>
    <w:p w:rsidR="0055535A" w:rsidRDefault="0055535A" w:rsidP="0055535A">
      <w:pPr>
        <w:pStyle w:val="CTBSoustitre"/>
        <w:rPr>
          <w:sz w:val="40"/>
          <w:szCs w:val="40"/>
        </w:rPr>
      </w:pPr>
      <w:r>
        <w:rPr>
          <w:sz w:val="40"/>
          <w:szCs w:val="40"/>
        </w:rPr>
        <w:t xml:space="preserve"> BDI 1006811- BDI 1307911- BDI 1408811</w:t>
      </w:r>
    </w:p>
    <w:tbl>
      <w:tblPr>
        <w:tblW w:w="0" w:type="auto"/>
        <w:tblInd w:w="767" w:type="dxa"/>
        <w:tblLayout w:type="fixed"/>
        <w:tblCellMar>
          <w:top w:w="55" w:type="dxa"/>
          <w:left w:w="55" w:type="dxa"/>
          <w:bottom w:w="55" w:type="dxa"/>
          <w:right w:w="55" w:type="dxa"/>
        </w:tblCellMar>
        <w:tblLook w:val="04A0" w:firstRow="1" w:lastRow="0" w:firstColumn="1" w:lastColumn="0" w:noHBand="0" w:noVBand="1"/>
      </w:tblPr>
      <w:tblGrid>
        <w:gridCol w:w="9521"/>
      </w:tblGrid>
      <w:tr w:rsidR="0055535A" w:rsidTr="0055535A">
        <w:trPr>
          <w:trHeight w:val="359"/>
        </w:trPr>
        <w:tc>
          <w:tcPr>
            <w:tcW w:w="9521" w:type="dxa"/>
          </w:tcPr>
          <w:p w:rsidR="0055535A" w:rsidRDefault="0055535A">
            <w:pPr>
              <w:pStyle w:val="TableContents"/>
              <w:rPr>
                <w:rFonts w:ascii="Times New Roman" w:hAnsi="Times New Roman"/>
              </w:rPr>
            </w:pPr>
          </w:p>
        </w:tc>
      </w:tr>
    </w:tbl>
    <w:p w:rsidR="0055535A" w:rsidRDefault="0055535A" w:rsidP="0055535A">
      <w:pPr>
        <w:widowControl/>
        <w:suppressAutoHyphens w:val="0"/>
        <w:snapToGrid/>
        <w:rPr>
          <w:snapToGrid w:val="0"/>
        </w:rPr>
        <w:sectPr w:rsidR="0055535A">
          <w:footerReference w:type="default" r:id="rId11"/>
          <w:pgSz w:w="11905" w:h="16837"/>
          <w:pgMar w:top="851" w:right="990" w:bottom="567" w:left="567" w:header="567" w:footer="708" w:gutter="0"/>
          <w:cols w:space="720"/>
          <w:formProt w:val="0"/>
        </w:sectPr>
      </w:pPr>
    </w:p>
    <w:p w:rsidR="0055535A" w:rsidRDefault="0055535A" w:rsidP="0055535A">
      <w:pPr>
        <w:pStyle w:val="TM1"/>
      </w:pPr>
      <w:bookmarkStart w:id="3" w:name="Index_Signet"/>
      <w:bookmarkStart w:id="4" w:name="_Toc305765841"/>
      <w:bookmarkStart w:id="5" w:name="_Toc370814183"/>
      <w:bookmarkEnd w:id="3"/>
      <w:r>
        <w:rPr>
          <w:rFonts w:cs="Arial"/>
          <w:noProof/>
          <w:sz w:val="20"/>
          <w:szCs w:val="20"/>
          <w:lang w:val="fr-BE" w:eastAsia="fr-BE"/>
        </w:rPr>
        <w:lastRenderedPageBreak/>
        <w:drawing>
          <wp:inline distT="0" distB="0" distL="0" distR="0">
            <wp:extent cx="5039995" cy="2962910"/>
            <wp:effectExtent l="0" t="0" r="8255" b="8890"/>
            <wp:docPr id="15" name="Image 15" descr="Description : C:\Users\emugisho\Desktop\Photos\DPP_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C:\Users\emugisho\Desktop\Photos\DPP_000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2962910"/>
                    </a:xfrm>
                    <a:prstGeom prst="rect">
                      <a:avLst/>
                    </a:prstGeom>
                    <a:noFill/>
                    <a:ln>
                      <a:noFill/>
                    </a:ln>
                  </pic:spPr>
                </pic:pic>
              </a:graphicData>
            </a:graphic>
          </wp:inline>
        </w:drawing>
      </w:r>
    </w:p>
    <w:p w:rsidR="0055535A" w:rsidRDefault="0055535A" w:rsidP="0055535A">
      <w:pPr>
        <w:widowControl/>
        <w:suppressAutoHyphens w:val="0"/>
        <w:rPr>
          <w:rFonts w:cs="Arial"/>
          <w:b/>
          <w:color w:val="FF0000"/>
          <w:sz w:val="28"/>
          <w:szCs w:val="28"/>
        </w:rPr>
      </w:pPr>
      <w:r>
        <w:rPr>
          <w:rFonts w:cs="Arial"/>
          <w:snapToGrid w:val="0"/>
          <w:sz w:val="20"/>
          <w:szCs w:val="20"/>
        </w:rPr>
        <w:br w:type="page"/>
      </w:r>
    </w:p>
    <w:p w:rsidR="0055535A" w:rsidRDefault="0055535A" w:rsidP="0055535A">
      <w:pPr>
        <w:pStyle w:val="TM1"/>
        <w:tabs>
          <w:tab w:val="left" w:pos="960"/>
        </w:tabs>
        <w:rPr>
          <w:rFonts w:asciiTheme="minorHAnsi" w:eastAsiaTheme="minorEastAsia" w:hAnsiTheme="minorHAnsi" w:cstheme="minorBidi"/>
          <w:b w:val="0"/>
          <w:bCs w:val="0"/>
          <w:caps w:val="0"/>
          <w:noProof/>
          <w:kern w:val="0"/>
          <w:sz w:val="22"/>
          <w:szCs w:val="22"/>
          <w:lang w:val="fr-BE" w:eastAsia="fr-BE"/>
        </w:rPr>
      </w:pPr>
      <w:r>
        <w:lastRenderedPageBreak/>
        <w:fldChar w:fldCharType="begin"/>
      </w:r>
      <w:r>
        <w:rPr>
          <w:rFonts w:ascii="Arial" w:hAnsi="Arial" w:cs="Arial"/>
          <w:sz w:val="18"/>
          <w:szCs w:val="18"/>
        </w:rPr>
        <w:instrText xml:space="preserve"> TOC \o "1-3" \h \z \u </w:instrText>
      </w:r>
      <w:r>
        <w:fldChar w:fldCharType="separate"/>
      </w:r>
      <w:hyperlink r:id="rId13" w:anchor="_Toc475972136" w:history="1">
        <w:r>
          <w:rPr>
            <w:rStyle w:val="Lienhypertexte"/>
            <w:rFonts w:eastAsia="Arial Unicode MS"/>
            <w:noProof/>
          </w:rPr>
          <w:t>1</w:t>
        </w:r>
        <w:r>
          <w:rPr>
            <w:rStyle w:val="Lienhypertexte"/>
            <w:rFonts w:asciiTheme="minorHAnsi" w:eastAsiaTheme="minorEastAsia" w:hAnsiTheme="minorHAnsi" w:cstheme="minorBidi"/>
            <w:b w:val="0"/>
            <w:bCs w:val="0"/>
            <w:caps w:val="0"/>
            <w:noProof/>
            <w:color w:val="auto"/>
            <w:kern w:val="0"/>
            <w:sz w:val="22"/>
            <w:szCs w:val="22"/>
            <w:lang w:val="fr-BE" w:eastAsia="fr-BE"/>
          </w:rPr>
          <w:tab/>
        </w:r>
        <w:r>
          <w:rPr>
            <w:rStyle w:val="Lienhypertexte"/>
            <w:rFonts w:eastAsia="Arial Unicode MS"/>
            <w:noProof/>
          </w:rPr>
          <w:t>Aperçu de l'intervention</w:t>
        </w:r>
        <w:r>
          <w:rPr>
            <w:rStyle w:val="Lienhypertexte"/>
            <w:rFonts w:eastAsia="Arial Unicode MS"/>
            <w:noProof/>
            <w:webHidden/>
            <w:color w:val="auto"/>
          </w:rPr>
          <w:tab/>
        </w:r>
        <w:r>
          <w:rPr>
            <w:rStyle w:val="Lienhypertexte"/>
            <w:rFonts w:eastAsia="Arial Unicode MS"/>
            <w:noProof/>
          </w:rPr>
          <w:fldChar w:fldCharType="begin"/>
        </w:r>
        <w:r>
          <w:rPr>
            <w:rStyle w:val="Lienhypertexte"/>
            <w:rFonts w:eastAsia="Arial Unicode MS"/>
            <w:noProof/>
            <w:webHidden/>
            <w:color w:val="auto"/>
          </w:rPr>
          <w:instrText xml:space="preserve"> PAGEREF _Toc475972136 \h </w:instrText>
        </w:r>
        <w:r>
          <w:rPr>
            <w:rStyle w:val="Lienhypertexte"/>
            <w:rFonts w:eastAsia="Arial Unicode MS"/>
            <w:noProof/>
          </w:rPr>
        </w:r>
        <w:r>
          <w:rPr>
            <w:rStyle w:val="Lienhypertexte"/>
            <w:rFonts w:eastAsia="Arial Unicode MS"/>
            <w:noProof/>
          </w:rPr>
          <w:fldChar w:fldCharType="separate"/>
        </w:r>
        <w:r w:rsidR="00703729">
          <w:rPr>
            <w:rStyle w:val="Lienhypertexte"/>
            <w:rFonts w:eastAsia="Arial Unicode MS"/>
            <w:noProof/>
            <w:webHidden/>
            <w:color w:val="auto"/>
          </w:rPr>
          <w:t>6</w:t>
        </w:r>
        <w:r>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14" w:anchor="_Toc475972137" w:history="1">
        <w:r w:rsidR="0055535A">
          <w:rPr>
            <w:rStyle w:val="Lienhypertexte"/>
            <w:rFonts w:eastAsia="Arial Unicode MS"/>
          </w:rPr>
          <w:t>1.1</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Fiche d'intervention</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_Toc475972137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6</w:t>
        </w:r>
        <w:r w:rsidR="0055535A">
          <w:rPr>
            <w:rStyle w:val="Lienhypertexte"/>
            <w:rFonts w:eastAsia="Arial Unicode MS"/>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15" w:anchor="_Toc475972138" w:history="1">
        <w:r w:rsidR="0055535A">
          <w:rPr>
            <w:rStyle w:val="Lienhypertexte"/>
            <w:rFonts w:eastAsia="Arial Unicode MS"/>
          </w:rPr>
          <w:t>1.2</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Exécution budgétaire</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_Toc475972138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8</w:t>
        </w:r>
        <w:r w:rsidR="0055535A">
          <w:rPr>
            <w:rStyle w:val="Lienhypertexte"/>
            <w:rFonts w:eastAsia="Arial Unicode MS"/>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16" w:anchor="_Toc475972139" w:history="1">
        <w:r w:rsidR="0055535A">
          <w:rPr>
            <w:rStyle w:val="Lienhypertexte"/>
            <w:rFonts w:eastAsia="Arial Unicode MS"/>
          </w:rPr>
          <w:t>1.3</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Autoévaluation de la performance</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_Toc475972139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11</w:t>
        </w:r>
        <w:r w:rsidR="0055535A">
          <w:rPr>
            <w:rStyle w:val="Lienhypertexte"/>
            <w:rFonts w:eastAsia="Arial Unicode MS"/>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17" w:anchor="_Toc475972140" w:history="1">
        <w:r w:rsidR="0055535A">
          <w:rPr>
            <w:rStyle w:val="Lienhypertexte"/>
            <w:rFonts w:eastAsia="Arial Unicode MS"/>
            <w:noProof/>
          </w:rPr>
          <w:t>1.3.1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Pertinence</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_Toc475972140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11</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18" w:anchor="_Toc475972141" w:history="1">
        <w:r w:rsidR="0055535A">
          <w:rPr>
            <w:rStyle w:val="Lienhypertexte"/>
            <w:rFonts w:eastAsia="Arial Unicode MS"/>
            <w:noProof/>
          </w:rPr>
          <w:t>1.3.2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Efficacité</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_Toc475972141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11</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19" w:anchor="_Toc475972142" w:history="1">
        <w:r w:rsidR="0055535A">
          <w:rPr>
            <w:rStyle w:val="Lienhypertexte"/>
            <w:rFonts w:eastAsia="Arial Unicode MS"/>
            <w:noProof/>
          </w:rPr>
          <w:t>1.3.3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Efficience</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_Toc475972142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12</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20" w:anchor="_Toc475972143" w:history="1">
        <w:r w:rsidR="0055535A">
          <w:rPr>
            <w:rStyle w:val="Lienhypertexte"/>
            <w:rFonts w:eastAsia="Arial Unicode MS"/>
            <w:noProof/>
          </w:rPr>
          <w:t>1.3.4</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Durabilité potentielle</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_Toc475972143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13</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21" w:anchor="_Toc475972144" w:history="1">
        <w:r w:rsidR="0055535A">
          <w:rPr>
            <w:rStyle w:val="Lienhypertexte"/>
            <w:rFonts w:eastAsia="Arial Unicode MS"/>
          </w:rPr>
          <w:t>1.4</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Conclusions</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_Toc475972144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15</w:t>
        </w:r>
        <w:r w:rsidR="0055535A">
          <w:rPr>
            <w:rStyle w:val="Lienhypertexte"/>
            <w:rFonts w:eastAsia="Arial Unicode MS"/>
          </w:rPr>
          <w:fldChar w:fldCharType="end"/>
        </w:r>
      </w:hyperlink>
    </w:p>
    <w:p w:rsidR="0055535A" w:rsidRDefault="00E51498" w:rsidP="0055535A">
      <w:pPr>
        <w:pStyle w:val="TM1"/>
        <w:tabs>
          <w:tab w:val="left" w:pos="960"/>
        </w:tabs>
        <w:rPr>
          <w:rFonts w:asciiTheme="minorHAnsi" w:eastAsiaTheme="minorEastAsia" w:hAnsiTheme="minorHAnsi" w:cstheme="minorBidi"/>
          <w:b w:val="0"/>
          <w:bCs w:val="0"/>
          <w:caps w:val="0"/>
          <w:noProof/>
          <w:kern w:val="0"/>
          <w:sz w:val="22"/>
          <w:szCs w:val="22"/>
          <w:lang w:val="fr-BE" w:eastAsia="fr-BE"/>
        </w:rPr>
      </w:pPr>
      <w:hyperlink r:id="rId22" w:anchor="_Toc475972145" w:history="1">
        <w:r w:rsidR="0055535A">
          <w:rPr>
            <w:rStyle w:val="Lienhypertexte"/>
            <w:rFonts w:eastAsia="Arial Unicode MS" w:cs="Arial"/>
            <w:noProof/>
          </w:rPr>
          <w:t>2</w:t>
        </w:r>
        <w:r w:rsidR="0055535A">
          <w:rPr>
            <w:rStyle w:val="Lienhypertexte"/>
            <w:rFonts w:asciiTheme="minorHAnsi" w:eastAsiaTheme="minorEastAsia" w:hAnsiTheme="minorHAnsi" w:cstheme="minorBidi"/>
            <w:b w:val="0"/>
            <w:bCs w:val="0"/>
            <w:caps w:val="0"/>
            <w:noProof/>
            <w:color w:val="auto"/>
            <w:kern w:val="0"/>
            <w:sz w:val="22"/>
            <w:szCs w:val="22"/>
            <w:lang w:val="fr-BE" w:eastAsia="fr-BE"/>
          </w:rPr>
          <w:tab/>
        </w:r>
        <w:r w:rsidR="0055535A">
          <w:rPr>
            <w:rStyle w:val="Lienhypertexte"/>
            <w:rFonts w:eastAsia="Arial Unicode MS"/>
            <w:noProof/>
          </w:rPr>
          <w:t>Monitoring des résultats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_Toc475972145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16</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23" w:anchor="_Toc475972146" w:history="1">
        <w:r w:rsidR="0055535A">
          <w:rPr>
            <w:rStyle w:val="Lienhypertexte"/>
            <w:rFonts w:eastAsia="Arial Unicode MS"/>
          </w:rPr>
          <w:t>2.1</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Évolution du contexte</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_Toc475972146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16</w:t>
        </w:r>
        <w:r w:rsidR="0055535A">
          <w:rPr>
            <w:rStyle w:val="Lienhypertexte"/>
            <w:rFonts w:eastAsia="Arial Unicode MS"/>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24" w:anchor="_Toc475972147" w:history="1">
        <w:r w:rsidR="0055535A">
          <w:rPr>
            <w:rStyle w:val="Lienhypertexte"/>
            <w:rFonts w:eastAsia="Arial Unicode MS"/>
            <w:noProof/>
          </w:rPr>
          <w:t>2.1.1 Contexte général</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_Toc475972147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16</w:t>
        </w:r>
        <w:r w:rsidR="0055535A">
          <w:rPr>
            <w:rStyle w:val="Lienhypertexte"/>
            <w:rFonts w:eastAsia="Arial Unicode MS"/>
            <w:noProof/>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25" w:anchor="_Toc475972148" w:history="1">
        <w:r w:rsidR="0055535A">
          <w:rPr>
            <w:rStyle w:val="Lienhypertexte"/>
            <w:rFonts w:eastAsia="Arial Unicode MS"/>
            <w:noProof/>
          </w:rPr>
          <w:t>2.1.2 Contexte institutionnel</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_Toc475972148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16</w:t>
        </w:r>
        <w:r w:rsidR="0055535A">
          <w:rPr>
            <w:rStyle w:val="Lienhypertexte"/>
            <w:rFonts w:eastAsia="Arial Unicode MS"/>
            <w:noProof/>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26" w:anchor="_Toc475972149" w:history="1">
        <w:r w:rsidR="0055535A">
          <w:rPr>
            <w:rStyle w:val="Lienhypertexte"/>
            <w:rFonts w:eastAsia="Arial Unicode MS"/>
            <w:noProof/>
          </w:rPr>
          <w:t>2.1.3 Contexte de gestion : modalités d'exécution</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_Toc475972149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17</w:t>
        </w:r>
        <w:r w:rsidR="0055535A">
          <w:rPr>
            <w:rStyle w:val="Lienhypertexte"/>
            <w:rFonts w:eastAsia="Arial Unicode MS"/>
            <w:noProof/>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27" w:anchor="_Toc475972150" w:history="1">
        <w:r w:rsidR="0055535A">
          <w:rPr>
            <w:rStyle w:val="Lienhypertexte"/>
            <w:rFonts w:eastAsia="Arial Unicode MS"/>
            <w:noProof/>
          </w:rPr>
          <w:t>2.1.4 Contexte HARMO</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_Toc475972150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18</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28" w:anchor="_Toc475972151" w:history="1">
        <w:r w:rsidR="0055535A">
          <w:rPr>
            <w:rStyle w:val="Lienhypertexte"/>
            <w:rFonts w:eastAsia="Arial Unicode MS"/>
          </w:rPr>
          <w:t>2.2</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Performance de l'outcome</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_Toc475972151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19</w:t>
        </w:r>
        <w:r w:rsidR="0055535A">
          <w:rPr>
            <w:rStyle w:val="Lienhypertexte"/>
            <w:rFonts w:eastAsia="Arial Unicode MS"/>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29" w:anchor="_Toc475972152" w:history="1">
        <w:r w:rsidR="0055535A">
          <w:rPr>
            <w:rStyle w:val="Lienhypertexte"/>
            <w:rFonts w:eastAsia="Arial Unicode MS"/>
            <w:noProof/>
          </w:rPr>
          <w:t>2.2.1 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_Toc475972152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19</w:t>
        </w:r>
        <w:r w:rsidR="0055535A">
          <w:rPr>
            <w:rStyle w:val="Lienhypertexte"/>
            <w:rFonts w:eastAsia="Arial Unicode MS"/>
            <w:noProof/>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30" w:anchor="_Toc475972153" w:history="1">
        <w:r w:rsidR="0055535A">
          <w:rPr>
            <w:rStyle w:val="Lienhypertexte"/>
            <w:rFonts w:eastAsia="Arial Unicode MS"/>
            <w:noProof/>
          </w:rPr>
          <w:t>2.2.2 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_Toc475972153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19</w:t>
        </w:r>
        <w:r w:rsidR="0055535A">
          <w:rPr>
            <w:rStyle w:val="Lienhypertexte"/>
            <w:rFonts w:eastAsia="Arial Unicode MS"/>
            <w:noProof/>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31" w:anchor="_Toc475972154" w:history="1">
        <w:r w:rsidR="0055535A">
          <w:rPr>
            <w:rStyle w:val="Lienhypertexte"/>
            <w:rFonts w:eastAsia="Arial Unicode MS"/>
            <w:noProof/>
          </w:rPr>
          <w:t>2.2.3 Impact potentiel</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_Toc475972154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21</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32" w:anchor="_Toc475972155" w:history="1">
        <w:r w:rsidR="0055535A">
          <w:rPr>
            <w:rStyle w:val="Lienhypertexte"/>
            <w:rFonts w:eastAsia="Arial Unicode MS"/>
          </w:rPr>
          <w:t>2.3</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4 - SNIS : performance de l'output 1</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_Toc475972155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22</w:t>
        </w:r>
        <w:r w:rsidR="0055535A">
          <w:rPr>
            <w:rStyle w:val="Lienhypertexte"/>
            <w:rFonts w:eastAsia="Arial Unicode MS"/>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33" w:anchor="_Toc475972156" w:history="1">
        <w:r w:rsidR="0055535A">
          <w:rPr>
            <w:rStyle w:val="Lienhypertexte"/>
            <w:rFonts w:eastAsia="Arial Unicode MS" w:cs="Arial"/>
            <w:noProof/>
          </w:rPr>
          <w:t>2.3.1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_Toc475972156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22</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34" w:anchor="_Toc475972157" w:history="1">
        <w:r w:rsidR="0055535A">
          <w:rPr>
            <w:rStyle w:val="Lienhypertexte"/>
            <w:rFonts w:eastAsia="Arial Unicode MS"/>
            <w:noProof/>
          </w:rPr>
          <w:t>2.3.2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_Toc475972157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22</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35" w:anchor="_Toc475972158" w:history="1">
        <w:r w:rsidR="0055535A">
          <w:rPr>
            <w:rStyle w:val="Lienhypertexte"/>
            <w:rFonts w:eastAsia="Arial Unicode MS"/>
            <w:noProof/>
          </w:rPr>
          <w:t>2.3.3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_Toc475972158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22</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36" w:anchor="_Toc475972159" w:history="1">
        <w:r w:rsidR="0055535A">
          <w:rPr>
            <w:rStyle w:val="Lienhypertexte"/>
            <w:rFonts w:eastAsia="Arial Unicode MS"/>
          </w:rPr>
          <w:t>2.4</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4 - SNIS : performance de l'output 2</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_Toc475972159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24</w:t>
        </w:r>
        <w:r w:rsidR="0055535A">
          <w:rPr>
            <w:rStyle w:val="Lienhypertexte"/>
            <w:rFonts w:eastAsia="Arial Unicode MS"/>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37" w:anchor="_Toc475972160" w:history="1">
        <w:r w:rsidR="0055535A">
          <w:rPr>
            <w:rStyle w:val="Lienhypertexte"/>
            <w:rFonts w:eastAsia="Arial Unicode MS" w:cs="Arial"/>
            <w:noProof/>
          </w:rPr>
          <w:t>2.4.1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_Toc475972160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24</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38" w:anchor="_Toc475972161" w:history="1">
        <w:r w:rsidR="0055535A">
          <w:rPr>
            <w:rStyle w:val="Lienhypertexte"/>
            <w:rFonts w:eastAsia="Arial Unicode MS"/>
            <w:noProof/>
          </w:rPr>
          <w:t>2.4.2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_Toc475972161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24</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39" w:anchor="_Toc475972162" w:history="1">
        <w:r w:rsidR="0055535A">
          <w:rPr>
            <w:rStyle w:val="Lienhypertexte"/>
            <w:rFonts w:eastAsia="Arial Unicode MS"/>
            <w:noProof/>
          </w:rPr>
          <w:t>2.4.3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_Toc475972162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24</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40" w:anchor="_Toc475972163" w:history="1">
        <w:r w:rsidR="0055535A">
          <w:rPr>
            <w:rStyle w:val="Lienhypertexte"/>
            <w:rFonts w:eastAsia="Arial Unicode MS"/>
          </w:rPr>
          <w:t>2.5</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4 - SNIS : performance de l'output 3</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_Toc475972163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25</w:t>
        </w:r>
        <w:r w:rsidR="0055535A">
          <w:rPr>
            <w:rStyle w:val="Lienhypertexte"/>
            <w:rFonts w:eastAsia="Arial Unicode MS"/>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41" w:anchor="_Toc475972164" w:history="1">
        <w:r w:rsidR="0055535A">
          <w:rPr>
            <w:rStyle w:val="Lienhypertexte"/>
            <w:rFonts w:eastAsia="Arial Unicode MS"/>
            <w:noProof/>
          </w:rPr>
          <w:t>2.6.1 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_Toc475972164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25</w:t>
        </w:r>
        <w:r w:rsidR="0055535A">
          <w:rPr>
            <w:rStyle w:val="Lienhypertexte"/>
            <w:rFonts w:eastAsia="Arial Unicode MS"/>
            <w:noProof/>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42" w:anchor="_Toc475972165" w:history="1">
        <w:r w:rsidR="0055535A">
          <w:rPr>
            <w:rStyle w:val="Lienhypertexte"/>
            <w:rFonts w:eastAsia="Arial Unicode MS"/>
            <w:noProof/>
          </w:rPr>
          <w:t>2.6.2 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_Toc475972165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25</w:t>
        </w:r>
        <w:r w:rsidR="0055535A">
          <w:rPr>
            <w:rStyle w:val="Lienhypertexte"/>
            <w:rFonts w:eastAsia="Arial Unicode MS"/>
            <w:noProof/>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43" w:anchor="_Toc475972166" w:history="1">
        <w:r w:rsidR="0055535A">
          <w:rPr>
            <w:rStyle w:val="Lienhypertexte"/>
            <w:rFonts w:eastAsia="Arial Unicode MS"/>
            <w:noProof/>
          </w:rPr>
          <w:t>2.6.3 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_Toc475972166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25</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44" w:anchor="_Toc475972167" w:history="1">
        <w:r w:rsidR="0055535A">
          <w:rPr>
            <w:rStyle w:val="Lienhypertexte"/>
            <w:rFonts w:eastAsia="Arial Unicode MS"/>
          </w:rPr>
          <w:t>2.6</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4 - SNIS : performance de l'output 4</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_Toc475972167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26</w:t>
        </w:r>
        <w:r w:rsidR="0055535A">
          <w:rPr>
            <w:rStyle w:val="Lienhypertexte"/>
            <w:rFonts w:eastAsia="Arial Unicode MS"/>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45" w:anchor="_Toc475972168" w:history="1">
        <w:r w:rsidR="0055535A">
          <w:rPr>
            <w:rStyle w:val="Lienhypertexte"/>
            <w:rFonts w:eastAsia="Arial Unicode MS" w:cs="Arial"/>
            <w:noProof/>
          </w:rPr>
          <w:t>2.6.1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_Toc475972168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26</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46" w:anchor="_Toc475972169" w:history="1">
        <w:r w:rsidR="0055535A">
          <w:rPr>
            <w:rStyle w:val="Lienhypertexte"/>
            <w:rFonts w:eastAsia="Arial Unicode MS"/>
            <w:noProof/>
          </w:rPr>
          <w:t>2.6.2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_Toc475972169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26</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47" w:anchor="_Toc475972170" w:history="1">
        <w:r w:rsidR="0055535A">
          <w:rPr>
            <w:rStyle w:val="Lienhypertexte"/>
            <w:rFonts w:eastAsia="Arial Unicode MS"/>
            <w:noProof/>
          </w:rPr>
          <w:t>2.6.3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_Toc475972170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26</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48" w:anchor="_Toc475972171" w:history="1">
        <w:r w:rsidR="0055535A">
          <w:rPr>
            <w:rStyle w:val="Lienhypertexte"/>
            <w:rFonts w:eastAsia="Arial Unicode MS"/>
          </w:rPr>
          <w:t>2.7</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5 : performance de l'output 1</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_Toc475972171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27</w:t>
        </w:r>
        <w:r w:rsidR="0055535A">
          <w:rPr>
            <w:rStyle w:val="Lienhypertexte"/>
            <w:rFonts w:eastAsia="Arial Unicode MS"/>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49" w:anchor="_Toc475972172" w:history="1">
        <w:r w:rsidR="0055535A">
          <w:rPr>
            <w:rStyle w:val="Lienhypertexte"/>
            <w:rFonts w:eastAsia="Arial Unicode MS" w:cs="Arial"/>
            <w:noProof/>
          </w:rPr>
          <w:t>2.7.1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_Toc475972172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27</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50" w:anchor="_Toc475972173" w:history="1">
        <w:r w:rsidR="0055535A">
          <w:rPr>
            <w:rStyle w:val="Lienhypertexte"/>
            <w:rFonts w:eastAsia="Arial Unicode MS"/>
            <w:noProof/>
          </w:rPr>
          <w:t>2.7.2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_Toc475972173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27</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51" w:anchor="_Toc475972174" w:history="1">
        <w:r w:rsidR="0055535A">
          <w:rPr>
            <w:rStyle w:val="Lienhypertexte"/>
            <w:rFonts w:eastAsia="Arial Unicode MS"/>
            <w:noProof/>
          </w:rPr>
          <w:t>2.7.3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_Toc475972174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27</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52" w:anchor="_Toc475972175" w:history="1">
        <w:r w:rsidR="0055535A">
          <w:rPr>
            <w:rStyle w:val="Lienhypertexte"/>
            <w:rFonts w:eastAsia="Arial Unicode MS"/>
          </w:rPr>
          <w:t>2.8</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5 : performance de l'output 2</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_Toc475972175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28</w:t>
        </w:r>
        <w:r w:rsidR="0055535A">
          <w:rPr>
            <w:rStyle w:val="Lienhypertexte"/>
            <w:rFonts w:eastAsia="Arial Unicode MS"/>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53" w:anchor="_Toc475972176" w:history="1">
        <w:r w:rsidR="0055535A">
          <w:rPr>
            <w:rStyle w:val="Lienhypertexte"/>
            <w:rFonts w:eastAsia="Arial Unicode MS" w:cs="Arial"/>
            <w:noProof/>
          </w:rPr>
          <w:t>2.8.1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_Toc475972176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28</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54" w:anchor="_Toc475972177" w:history="1">
        <w:r w:rsidR="0055535A">
          <w:rPr>
            <w:rStyle w:val="Lienhypertexte"/>
            <w:rFonts w:eastAsia="Arial Unicode MS"/>
            <w:noProof/>
          </w:rPr>
          <w:t>2.8.2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_Toc475972177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28</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55" w:anchor="_Toc475972178" w:history="1">
        <w:r w:rsidR="0055535A">
          <w:rPr>
            <w:rStyle w:val="Lienhypertexte"/>
            <w:rFonts w:eastAsia="Arial Unicode MS"/>
            <w:noProof/>
          </w:rPr>
          <w:t>2.8.3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_Toc475972178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29</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56" w:anchor="_Toc475972179" w:history="1">
        <w:r w:rsidR="0055535A">
          <w:rPr>
            <w:rStyle w:val="Lienhypertexte"/>
            <w:rFonts w:eastAsia="Arial Unicode MS"/>
          </w:rPr>
          <w:t>2.9</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5 : performance de l'output 3</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_Toc475972179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30</w:t>
        </w:r>
        <w:r w:rsidR="0055535A">
          <w:rPr>
            <w:rStyle w:val="Lienhypertexte"/>
            <w:rFonts w:eastAsia="Arial Unicode MS"/>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57" w:anchor="_Toc475972180" w:history="1">
        <w:r w:rsidR="0055535A">
          <w:rPr>
            <w:rStyle w:val="Lienhypertexte"/>
            <w:rFonts w:eastAsia="Arial Unicode MS" w:cs="Arial"/>
            <w:noProof/>
          </w:rPr>
          <w:t>2.9.1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_Toc475972180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30</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58" w:anchor="_Toc475972181" w:history="1">
        <w:r w:rsidR="0055535A">
          <w:rPr>
            <w:rStyle w:val="Lienhypertexte"/>
            <w:rFonts w:eastAsia="Arial Unicode MS"/>
            <w:noProof/>
          </w:rPr>
          <w:t>2.9.2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_Toc475972181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30</w:t>
        </w:r>
        <w:r w:rsidR="0055535A">
          <w:rPr>
            <w:rStyle w:val="Lienhypertexte"/>
            <w:rFonts w:eastAsia="Arial Unicode MS"/>
            <w:noProof/>
          </w:rPr>
          <w:fldChar w:fldCharType="end"/>
        </w:r>
      </w:hyperlink>
    </w:p>
    <w:p w:rsidR="0055535A" w:rsidRDefault="00E51498" w:rsidP="0055535A">
      <w:pPr>
        <w:pStyle w:val="TM3"/>
        <w:tabs>
          <w:tab w:val="left" w:pos="1200"/>
          <w:tab w:val="right" w:leader="dot" w:pos="7925"/>
        </w:tabs>
        <w:rPr>
          <w:rFonts w:asciiTheme="minorHAnsi" w:eastAsiaTheme="minorEastAsia" w:hAnsiTheme="minorHAnsi" w:cstheme="minorBidi"/>
          <w:i w:val="0"/>
          <w:iCs w:val="0"/>
          <w:noProof/>
          <w:kern w:val="0"/>
          <w:sz w:val="22"/>
          <w:szCs w:val="22"/>
          <w:lang w:val="fr-BE" w:eastAsia="fr-BE"/>
        </w:rPr>
      </w:pPr>
      <w:hyperlink r:id="rId59" w:anchor="_Toc475972182" w:history="1">
        <w:r w:rsidR="0055535A">
          <w:rPr>
            <w:rStyle w:val="Lienhypertexte"/>
            <w:rFonts w:eastAsia="Arial Unicode MS"/>
            <w:noProof/>
          </w:rPr>
          <w:t>2.9.3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_Toc475972182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30</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60" w:anchor="_Toc475972183" w:history="1">
        <w:r w:rsidR="0055535A">
          <w:rPr>
            <w:rStyle w:val="Lienhypertexte"/>
            <w:rFonts w:eastAsia="Arial Unicode MS"/>
          </w:rPr>
          <w:t>2.10</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5 : performance de l'output 4</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_Toc475972183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31</w:t>
        </w:r>
        <w:r w:rsidR="0055535A">
          <w:rPr>
            <w:rStyle w:val="Lienhypertexte"/>
            <w:rFonts w:eastAsia="Arial Unicode MS"/>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61" w:anchor="_Toc475972184" w:history="1">
        <w:r w:rsidR="0055535A">
          <w:rPr>
            <w:rStyle w:val="Lienhypertexte"/>
            <w:rFonts w:eastAsia="Arial Unicode MS" w:cs="Arial"/>
            <w:noProof/>
          </w:rPr>
          <w:t>2.10.1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_Toc475972184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31</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62" w:anchor="_Toc475972185" w:history="1">
        <w:r w:rsidR="0055535A">
          <w:rPr>
            <w:rStyle w:val="Lienhypertexte"/>
            <w:rFonts w:eastAsia="Arial Unicode MS"/>
            <w:noProof/>
          </w:rPr>
          <w:t>2.10.2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_Toc475972185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31</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63" w:anchor="_Toc475972186" w:history="1">
        <w:r w:rsidR="0055535A">
          <w:rPr>
            <w:rStyle w:val="Lienhypertexte"/>
            <w:rFonts w:eastAsia="Arial Unicode MS"/>
            <w:noProof/>
          </w:rPr>
          <w:t>2.10.3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_Toc475972186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31</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64" w:anchor="_Toc475972187" w:history="1">
        <w:r w:rsidR="0055535A">
          <w:rPr>
            <w:rStyle w:val="Lienhypertexte"/>
            <w:rFonts w:eastAsia="Arial Unicode MS"/>
          </w:rPr>
          <w:t>2.11</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5 : performance de l'output 5</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_Toc475972187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33</w:t>
        </w:r>
        <w:r w:rsidR="0055535A">
          <w:rPr>
            <w:rStyle w:val="Lienhypertexte"/>
            <w:rFonts w:eastAsia="Arial Unicode MS"/>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65" w:anchor="_Toc475972188" w:history="1">
        <w:r w:rsidR="0055535A">
          <w:rPr>
            <w:rStyle w:val="Lienhypertexte"/>
            <w:rFonts w:eastAsia="Arial Unicode MS" w:cs="Arial"/>
            <w:noProof/>
          </w:rPr>
          <w:t>2.11.1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_Toc475972188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33</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66" w:anchor="_Toc475972189" w:history="1">
        <w:r w:rsidR="0055535A">
          <w:rPr>
            <w:rStyle w:val="Lienhypertexte"/>
            <w:rFonts w:eastAsia="Arial Unicode MS"/>
            <w:noProof/>
          </w:rPr>
          <w:t>2.11.2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_Toc475972189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33</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67" w:anchor="_Toc475972190" w:history="1">
        <w:r w:rsidR="0055535A">
          <w:rPr>
            <w:rStyle w:val="Lienhypertexte"/>
            <w:rFonts w:eastAsia="Arial Unicode MS"/>
            <w:noProof/>
          </w:rPr>
          <w:t>2.11.3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_Toc475972190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33</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68" w:anchor="_Toc475972191" w:history="1">
        <w:r w:rsidR="0055535A">
          <w:rPr>
            <w:rStyle w:val="Lienhypertexte"/>
            <w:rFonts w:eastAsia="Arial Unicode MS"/>
          </w:rPr>
          <w:t>2.12</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PC : performance de l'output 1</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_Toc475972191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34</w:t>
        </w:r>
        <w:r w:rsidR="0055535A">
          <w:rPr>
            <w:rStyle w:val="Lienhypertexte"/>
            <w:rFonts w:eastAsia="Arial Unicode MS"/>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69" w:anchor="_Toc475972192" w:history="1">
        <w:r w:rsidR="0055535A">
          <w:rPr>
            <w:rStyle w:val="Lienhypertexte"/>
            <w:rFonts w:eastAsia="Arial Unicode MS"/>
            <w:noProof/>
          </w:rPr>
          <w:t>2.12.1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_Toc475972192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34</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70" w:anchor="_Toc475972193" w:history="1">
        <w:r w:rsidR="0055535A">
          <w:rPr>
            <w:rStyle w:val="Lienhypertexte"/>
            <w:rFonts w:eastAsia="Arial Unicode MS"/>
            <w:noProof/>
          </w:rPr>
          <w:t>2.12.2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_Toc475972193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35</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71" w:anchor="_Toc475972194" w:history="1">
        <w:r w:rsidR="0055535A">
          <w:rPr>
            <w:rStyle w:val="Lienhypertexte"/>
            <w:rFonts w:eastAsia="Arial Unicode MS"/>
            <w:noProof/>
          </w:rPr>
          <w:t>2.12.1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_Toc475972194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35</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72" w:anchor="_Toc475972195" w:history="1">
        <w:r w:rsidR="0055535A">
          <w:rPr>
            <w:rStyle w:val="Lienhypertexte"/>
            <w:rFonts w:eastAsia="Arial Unicode MS"/>
          </w:rPr>
          <w:t>2.13</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PC : performance de l'output 2</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_Toc475972195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36</w:t>
        </w:r>
        <w:r w:rsidR="0055535A">
          <w:rPr>
            <w:rStyle w:val="Lienhypertexte"/>
            <w:rFonts w:eastAsia="Arial Unicode MS"/>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73" w:anchor="_Toc475972196" w:history="1">
        <w:r w:rsidR="0055535A">
          <w:rPr>
            <w:rStyle w:val="Lienhypertexte"/>
            <w:rFonts w:eastAsia="Arial Unicode MS" w:cs="Arial"/>
            <w:noProof/>
          </w:rPr>
          <w:t>2.13.1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Progrès des indicateurs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_Toc475972196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36</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74" w:anchor="_Toc475972197" w:history="1">
        <w:r w:rsidR="0055535A">
          <w:rPr>
            <w:rStyle w:val="Lienhypertexte"/>
            <w:rFonts w:eastAsia="Arial Unicode MS"/>
            <w:noProof/>
          </w:rPr>
          <w:t>2.13.2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_Toc475972197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37</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75" w:anchor="_Toc475972198" w:history="1">
        <w:r w:rsidR="0055535A">
          <w:rPr>
            <w:rStyle w:val="Lienhypertexte"/>
            <w:rFonts w:eastAsia="Arial Unicode MS"/>
            <w:noProof/>
          </w:rPr>
          <w:t>2.13.3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_Toc475972198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37</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76" w:anchor="_Toc475972199" w:history="1">
        <w:r w:rsidR="0055535A">
          <w:rPr>
            <w:rStyle w:val="Lienhypertexte"/>
            <w:rFonts w:eastAsia="Arial Unicode MS"/>
          </w:rPr>
          <w:t>2.14</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Volet PC: performance de l'output 3</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_Toc475972199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39</w:t>
        </w:r>
        <w:r w:rsidR="0055535A">
          <w:rPr>
            <w:rStyle w:val="Lienhypertexte"/>
            <w:rFonts w:eastAsia="Arial Unicode MS"/>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77" w:anchor="_Toc475972200" w:history="1">
        <w:r w:rsidR="0055535A">
          <w:rPr>
            <w:rStyle w:val="Lienhypertexte"/>
            <w:rFonts w:eastAsia="Arial Unicode MS"/>
            <w:noProof/>
          </w:rPr>
          <w:t>2.14.1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État d'avancement des principales activités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_Toc475972200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39</w:t>
        </w:r>
        <w:r w:rsidR="0055535A">
          <w:rPr>
            <w:rStyle w:val="Lienhypertexte"/>
            <w:rFonts w:eastAsia="Arial Unicode MS"/>
            <w:noProof/>
          </w:rPr>
          <w:fldChar w:fldCharType="end"/>
        </w:r>
      </w:hyperlink>
    </w:p>
    <w:p w:rsidR="0055535A" w:rsidRDefault="00E51498" w:rsidP="0055535A">
      <w:pPr>
        <w:pStyle w:val="TM3"/>
        <w:tabs>
          <w:tab w:val="right" w:leader="dot" w:pos="7925"/>
        </w:tabs>
        <w:rPr>
          <w:rFonts w:asciiTheme="minorHAnsi" w:eastAsiaTheme="minorEastAsia" w:hAnsiTheme="minorHAnsi" w:cstheme="minorBidi"/>
          <w:i w:val="0"/>
          <w:iCs w:val="0"/>
          <w:noProof/>
          <w:kern w:val="0"/>
          <w:sz w:val="22"/>
          <w:szCs w:val="22"/>
          <w:lang w:val="fr-BE" w:eastAsia="fr-BE"/>
        </w:rPr>
      </w:pPr>
      <w:hyperlink r:id="rId78" w:anchor="_Toc475972201" w:history="1">
        <w:r w:rsidR="0055535A">
          <w:rPr>
            <w:rStyle w:val="Lienhypertexte"/>
            <w:rFonts w:eastAsia="Arial Unicode MS"/>
            <w:noProof/>
          </w:rPr>
          <w:t>2.6.3 Analyse des progrès réalisés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_Toc475972201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40</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79" w:anchor="_Toc475972202" w:history="1">
        <w:r w:rsidR="0055535A">
          <w:rPr>
            <w:rStyle w:val="Lienhypertexte"/>
            <w:rFonts w:eastAsia="Arial Unicode MS"/>
          </w:rPr>
          <w:t>2.15</w:t>
        </w:r>
        <w:r w:rsidR="0055535A">
          <w:rPr>
            <w:rStyle w:val="Lienhypertexte"/>
            <w:rFonts w:asciiTheme="minorHAnsi" w:eastAsiaTheme="minorEastAsia" w:hAnsiTheme="minorHAnsi" w:cstheme="minorBidi"/>
            <w:bCs w:val="0"/>
            <w:color w:val="auto"/>
            <w:kern w:val="0"/>
            <w:sz w:val="22"/>
            <w:szCs w:val="22"/>
            <w:lang w:val="fr-BE" w:eastAsia="fr-BE"/>
          </w:rPr>
          <w:tab/>
        </w:r>
        <w:r w:rsidR="0055535A">
          <w:rPr>
            <w:rStyle w:val="Lienhypertexte"/>
            <w:rFonts w:eastAsia="Arial Unicode MS"/>
          </w:rPr>
          <w:t>Thèmes transversaux</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_Toc475972202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41</w:t>
        </w:r>
        <w:r w:rsidR="0055535A">
          <w:rPr>
            <w:rStyle w:val="Lienhypertexte"/>
            <w:rFonts w:eastAsia="Arial Unicode MS"/>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80" w:anchor="_Toc475972203" w:history="1">
        <w:r w:rsidR="0055535A">
          <w:rPr>
            <w:rStyle w:val="Lienhypertexte"/>
            <w:rFonts w:eastAsia="Arial Unicode MS"/>
            <w:noProof/>
          </w:rPr>
          <w:t>2.15.1</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Genre</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_Toc475972203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41</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81" w:anchor="_Toc475972204" w:history="1">
        <w:r w:rsidR="0055535A">
          <w:rPr>
            <w:rStyle w:val="Lienhypertexte"/>
            <w:rFonts w:eastAsia="Arial Unicode MS"/>
            <w:noProof/>
          </w:rPr>
          <w:t>2.15.2</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Environnement</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_Toc475972204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41</w:t>
        </w:r>
        <w:r w:rsidR="0055535A">
          <w:rPr>
            <w:rStyle w:val="Lienhypertexte"/>
            <w:rFonts w:eastAsia="Arial Unicode MS"/>
            <w:noProof/>
          </w:rPr>
          <w:fldChar w:fldCharType="end"/>
        </w:r>
      </w:hyperlink>
    </w:p>
    <w:p w:rsidR="0055535A" w:rsidRDefault="00E51498" w:rsidP="0055535A">
      <w:pPr>
        <w:pStyle w:val="TM3"/>
        <w:tabs>
          <w:tab w:val="left" w:pos="1440"/>
          <w:tab w:val="right" w:leader="dot" w:pos="7925"/>
        </w:tabs>
        <w:rPr>
          <w:rFonts w:asciiTheme="minorHAnsi" w:eastAsiaTheme="minorEastAsia" w:hAnsiTheme="minorHAnsi" w:cstheme="minorBidi"/>
          <w:i w:val="0"/>
          <w:iCs w:val="0"/>
          <w:noProof/>
          <w:kern w:val="0"/>
          <w:sz w:val="22"/>
          <w:szCs w:val="22"/>
          <w:lang w:val="fr-BE" w:eastAsia="fr-BE"/>
        </w:rPr>
      </w:pPr>
      <w:hyperlink r:id="rId82" w:anchor="_Toc475972205" w:history="1">
        <w:r w:rsidR="0055535A">
          <w:rPr>
            <w:rStyle w:val="Lienhypertexte"/>
            <w:rFonts w:eastAsia="Arial Unicode MS"/>
            <w:noProof/>
          </w:rPr>
          <w:t>2.15.3</w:t>
        </w:r>
        <w:r w:rsidR="0055535A">
          <w:rPr>
            <w:rStyle w:val="Lienhypertexte"/>
            <w:rFonts w:asciiTheme="minorHAnsi" w:eastAsiaTheme="minorEastAsia" w:hAnsiTheme="minorHAnsi" w:cstheme="minorBidi"/>
            <w:i w:val="0"/>
            <w:iCs w:val="0"/>
            <w:noProof/>
            <w:color w:val="auto"/>
            <w:kern w:val="0"/>
            <w:sz w:val="22"/>
            <w:szCs w:val="22"/>
            <w:lang w:val="fr-BE" w:eastAsia="fr-BE"/>
          </w:rPr>
          <w:tab/>
        </w:r>
        <w:r w:rsidR="0055535A">
          <w:rPr>
            <w:rStyle w:val="Lienhypertexte"/>
            <w:rFonts w:eastAsia="Arial Unicode MS"/>
            <w:noProof/>
          </w:rPr>
          <w:t>VIH / SIDA</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_Toc475972205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42</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83" w:anchor="_Toc475972206" w:history="1">
        <w:r w:rsidR="0055535A">
          <w:rPr>
            <w:rStyle w:val="Lienhypertexte"/>
            <w:rFonts w:eastAsia="Arial Unicode MS"/>
          </w:rPr>
          <w:t>2.16 Gestion des risques</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_Toc475972206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43</w:t>
        </w:r>
        <w:r w:rsidR="0055535A">
          <w:rPr>
            <w:rStyle w:val="Lienhypertexte"/>
            <w:rFonts w:eastAsia="Arial Unicode MS"/>
          </w:rPr>
          <w:fldChar w:fldCharType="end"/>
        </w:r>
      </w:hyperlink>
    </w:p>
    <w:p w:rsidR="0055535A" w:rsidRDefault="00E51498" w:rsidP="0055535A">
      <w:pPr>
        <w:pStyle w:val="TM1"/>
        <w:tabs>
          <w:tab w:val="left" w:pos="1200"/>
        </w:tabs>
        <w:rPr>
          <w:rFonts w:asciiTheme="minorHAnsi" w:eastAsiaTheme="minorEastAsia" w:hAnsiTheme="minorHAnsi" w:cstheme="minorBidi"/>
          <w:b w:val="0"/>
          <w:bCs w:val="0"/>
          <w:caps w:val="0"/>
          <w:noProof/>
          <w:kern w:val="0"/>
          <w:sz w:val="22"/>
          <w:szCs w:val="22"/>
          <w:lang w:val="fr-BE" w:eastAsia="fr-BE"/>
        </w:rPr>
      </w:pPr>
      <w:hyperlink r:id="rId84" w:anchor="_Toc475972207" w:history="1">
        <w:r w:rsidR="0055535A">
          <w:rPr>
            <w:rStyle w:val="Lienhypertexte"/>
            <w:rFonts w:eastAsia="Arial Unicode MS"/>
            <w:noProof/>
          </w:rPr>
          <w:t>3.</w:t>
        </w:r>
        <w:r w:rsidR="0055535A">
          <w:rPr>
            <w:rStyle w:val="Lienhypertexte"/>
            <w:rFonts w:asciiTheme="minorHAnsi" w:eastAsiaTheme="minorEastAsia" w:hAnsiTheme="minorHAnsi" w:cstheme="minorBidi"/>
            <w:b w:val="0"/>
            <w:bCs w:val="0"/>
            <w:caps w:val="0"/>
            <w:noProof/>
            <w:color w:val="auto"/>
            <w:kern w:val="0"/>
            <w:sz w:val="22"/>
            <w:szCs w:val="22"/>
            <w:lang w:val="fr-BE" w:eastAsia="fr-BE"/>
          </w:rPr>
          <w:tab/>
        </w:r>
        <w:r w:rsidR="0055535A">
          <w:rPr>
            <w:rStyle w:val="Lienhypertexte"/>
            <w:rFonts w:eastAsia="Arial Unicode MS"/>
            <w:noProof/>
          </w:rPr>
          <w:t>Pilotage et apprentissage</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_Toc475972207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45</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85" w:anchor="_Toc475972208" w:history="1">
        <w:r w:rsidR="0055535A">
          <w:rPr>
            <w:rStyle w:val="Lienhypertexte"/>
            <w:rFonts w:eastAsia="Arial Unicode MS"/>
          </w:rPr>
          <w:t>3.1 Réorientations stratégiques</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_Toc475972208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45</w:t>
        </w:r>
        <w:r w:rsidR="0055535A">
          <w:rPr>
            <w:rStyle w:val="Lienhypertexte"/>
            <w:rFonts w:eastAsia="Arial Unicode MS"/>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86" w:anchor="_Toc475972209" w:history="1">
        <w:r w:rsidR="0055535A">
          <w:rPr>
            <w:rStyle w:val="Lienhypertexte"/>
            <w:rFonts w:eastAsia="Arial Unicode MS"/>
          </w:rPr>
          <w:t>3.2 Recommandations</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_Toc475972209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45</w:t>
        </w:r>
        <w:r w:rsidR="0055535A">
          <w:rPr>
            <w:rStyle w:val="Lienhypertexte"/>
            <w:rFonts w:eastAsia="Arial Unicode MS"/>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87" w:anchor="_Toc475972210" w:history="1">
        <w:r w:rsidR="0055535A">
          <w:rPr>
            <w:rStyle w:val="Lienhypertexte"/>
            <w:rFonts w:eastAsia="Arial Unicode MS"/>
          </w:rPr>
          <w:t>3.3 Enseignements tirés</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_Toc475972210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46</w:t>
        </w:r>
        <w:r w:rsidR="0055535A">
          <w:rPr>
            <w:rStyle w:val="Lienhypertexte"/>
            <w:rFonts w:eastAsia="Arial Unicode MS"/>
          </w:rPr>
          <w:fldChar w:fldCharType="end"/>
        </w:r>
      </w:hyperlink>
    </w:p>
    <w:p w:rsidR="0055535A" w:rsidRDefault="00E51498" w:rsidP="0055535A">
      <w:pPr>
        <w:pStyle w:val="TM1"/>
        <w:tabs>
          <w:tab w:val="left" w:pos="1200"/>
        </w:tabs>
        <w:rPr>
          <w:rFonts w:asciiTheme="minorHAnsi" w:eastAsiaTheme="minorEastAsia" w:hAnsiTheme="minorHAnsi" w:cstheme="minorBidi"/>
          <w:b w:val="0"/>
          <w:bCs w:val="0"/>
          <w:caps w:val="0"/>
          <w:noProof/>
          <w:kern w:val="0"/>
          <w:sz w:val="22"/>
          <w:szCs w:val="22"/>
          <w:lang w:val="fr-BE" w:eastAsia="fr-BE"/>
        </w:rPr>
      </w:pPr>
      <w:hyperlink r:id="rId88" w:anchor="_Toc475972211" w:history="1">
        <w:r w:rsidR="0055535A">
          <w:rPr>
            <w:rStyle w:val="Lienhypertexte"/>
            <w:rFonts w:eastAsia="Arial Unicode MS"/>
            <w:noProof/>
          </w:rPr>
          <w:t>4.</w:t>
        </w:r>
        <w:r w:rsidR="0055535A">
          <w:rPr>
            <w:rStyle w:val="Lienhypertexte"/>
            <w:rFonts w:asciiTheme="minorHAnsi" w:eastAsiaTheme="minorEastAsia" w:hAnsiTheme="minorHAnsi" w:cstheme="minorBidi"/>
            <w:b w:val="0"/>
            <w:bCs w:val="0"/>
            <w:caps w:val="0"/>
            <w:noProof/>
            <w:color w:val="auto"/>
            <w:kern w:val="0"/>
            <w:sz w:val="22"/>
            <w:szCs w:val="22"/>
            <w:lang w:val="fr-BE" w:eastAsia="fr-BE"/>
          </w:rPr>
          <w:tab/>
        </w:r>
        <w:r w:rsidR="0055535A">
          <w:rPr>
            <w:rStyle w:val="Lienhypertexte"/>
            <w:rFonts w:eastAsia="Arial Unicode MS"/>
            <w:noProof/>
          </w:rPr>
          <w:t>Annexes</w:t>
        </w:r>
        <w:r w:rsidR="0055535A">
          <w:rPr>
            <w:rStyle w:val="Lienhypertexte"/>
            <w:rFonts w:eastAsia="Arial Unicode MS"/>
            <w:noProof/>
            <w:webHidden/>
            <w:color w:val="auto"/>
          </w:rPr>
          <w:tab/>
        </w:r>
        <w:r w:rsidR="0055535A">
          <w:rPr>
            <w:rStyle w:val="Lienhypertexte"/>
            <w:rFonts w:eastAsia="Arial Unicode MS"/>
            <w:noProof/>
          </w:rPr>
          <w:fldChar w:fldCharType="begin"/>
        </w:r>
        <w:r w:rsidR="0055535A">
          <w:rPr>
            <w:rStyle w:val="Lienhypertexte"/>
            <w:rFonts w:eastAsia="Arial Unicode MS"/>
            <w:noProof/>
            <w:webHidden/>
            <w:color w:val="auto"/>
          </w:rPr>
          <w:instrText xml:space="preserve"> PAGEREF _Toc475972211 \h </w:instrText>
        </w:r>
        <w:r w:rsidR="0055535A">
          <w:rPr>
            <w:rStyle w:val="Lienhypertexte"/>
            <w:rFonts w:eastAsia="Arial Unicode MS"/>
            <w:noProof/>
          </w:rPr>
        </w:r>
        <w:r w:rsidR="0055535A">
          <w:rPr>
            <w:rStyle w:val="Lienhypertexte"/>
            <w:rFonts w:eastAsia="Arial Unicode MS"/>
            <w:noProof/>
          </w:rPr>
          <w:fldChar w:fldCharType="separate"/>
        </w:r>
        <w:r w:rsidR="00703729">
          <w:rPr>
            <w:rStyle w:val="Lienhypertexte"/>
            <w:rFonts w:eastAsia="Arial Unicode MS"/>
            <w:noProof/>
            <w:webHidden/>
            <w:color w:val="auto"/>
          </w:rPr>
          <w:t>47</w:t>
        </w:r>
        <w:r w:rsidR="0055535A">
          <w:rPr>
            <w:rStyle w:val="Lienhypertexte"/>
            <w:rFonts w:eastAsia="Arial Unicode MS"/>
            <w:noProof/>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89" w:anchor="_Toc475972212" w:history="1">
        <w:r w:rsidR="0055535A">
          <w:rPr>
            <w:rStyle w:val="Lienhypertexte"/>
            <w:rFonts w:eastAsia="Arial Unicode MS"/>
          </w:rPr>
          <w:t>4.1 Critères de qualité</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_Toc475972212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47</w:t>
        </w:r>
        <w:r w:rsidR="0055535A">
          <w:rPr>
            <w:rStyle w:val="Lienhypertexte"/>
            <w:rFonts w:eastAsia="Arial Unicode MS"/>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90" w:anchor="_Toc475972213" w:history="1">
        <w:r w:rsidR="0055535A">
          <w:rPr>
            <w:rStyle w:val="Lienhypertexte"/>
            <w:rFonts w:eastAsia="Arial Unicode MS"/>
          </w:rPr>
          <w:t>4.2 Décisions prises par le Comité de pilotage et / ou équivalent (CVI)</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_Toc475972213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50</w:t>
        </w:r>
        <w:r w:rsidR="0055535A">
          <w:rPr>
            <w:rStyle w:val="Lienhypertexte"/>
            <w:rFonts w:eastAsia="Arial Unicode MS"/>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91" w:anchor="_Toc475972214" w:history="1">
        <w:r w:rsidR="0055535A">
          <w:rPr>
            <w:rStyle w:val="Lienhypertexte"/>
            <w:rFonts w:eastAsia="Arial Unicode MS"/>
          </w:rPr>
          <w:t>4.3 Cadre logique mis à jour</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_Toc475972214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51</w:t>
        </w:r>
        <w:r w:rsidR="0055535A">
          <w:rPr>
            <w:rStyle w:val="Lienhypertexte"/>
            <w:rFonts w:eastAsia="Arial Unicode MS"/>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92" w:anchor="_Toc475972215" w:history="1">
        <w:r w:rsidR="0055535A">
          <w:rPr>
            <w:rStyle w:val="Lienhypertexte"/>
            <w:rFonts w:eastAsia="Arial Unicode MS"/>
          </w:rPr>
          <w:t>4.4 Aperçu des MoRe Results</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_Toc475972215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52</w:t>
        </w:r>
        <w:r w:rsidR="0055535A">
          <w:rPr>
            <w:rStyle w:val="Lienhypertexte"/>
            <w:rFonts w:eastAsia="Arial Unicode MS"/>
          </w:rPr>
          <w:fldChar w:fldCharType="end"/>
        </w:r>
      </w:hyperlink>
    </w:p>
    <w:p w:rsidR="0055535A" w:rsidRDefault="00E51498" w:rsidP="0055535A">
      <w:pPr>
        <w:pStyle w:val="TM2"/>
        <w:rPr>
          <w:rFonts w:asciiTheme="minorHAnsi" w:eastAsiaTheme="minorEastAsia" w:hAnsiTheme="minorHAnsi" w:cstheme="minorBidi"/>
          <w:bCs w:val="0"/>
          <w:kern w:val="0"/>
          <w:sz w:val="22"/>
          <w:szCs w:val="22"/>
          <w:lang w:val="fr-BE" w:eastAsia="fr-BE"/>
        </w:rPr>
      </w:pPr>
      <w:hyperlink r:id="rId93" w:anchor="_Toc475972216" w:history="1">
        <w:r w:rsidR="0055535A">
          <w:rPr>
            <w:rStyle w:val="Lienhypertexte"/>
            <w:rFonts w:eastAsia="Arial Unicode MS"/>
          </w:rPr>
          <w:t>4.5 Rapport « Budget versus Actuels (y – m) »</w:t>
        </w:r>
        <w:r w:rsidR="0055535A">
          <w:rPr>
            <w:rStyle w:val="Lienhypertexte"/>
            <w:rFonts w:eastAsia="Arial Unicode MS"/>
            <w:webHidden/>
            <w:color w:val="auto"/>
          </w:rPr>
          <w:tab/>
        </w:r>
        <w:r w:rsidR="0055535A">
          <w:rPr>
            <w:rStyle w:val="Lienhypertexte"/>
            <w:rFonts w:eastAsia="Arial Unicode MS"/>
          </w:rPr>
          <w:fldChar w:fldCharType="begin"/>
        </w:r>
        <w:r w:rsidR="0055535A">
          <w:rPr>
            <w:rStyle w:val="Lienhypertexte"/>
            <w:rFonts w:eastAsia="Arial Unicode MS"/>
            <w:webHidden/>
            <w:color w:val="auto"/>
          </w:rPr>
          <w:instrText xml:space="preserve"> PAGEREF _Toc475972216 \h </w:instrText>
        </w:r>
        <w:r w:rsidR="0055535A">
          <w:rPr>
            <w:rStyle w:val="Lienhypertexte"/>
            <w:rFonts w:eastAsia="Arial Unicode MS"/>
          </w:rPr>
        </w:r>
        <w:r w:rsidR="0055535A">
          <w:rPr>
            <w:rStyle w:val="Lienhypertexte"/>
            <w:rFonts w:eastAsia="Arial Unicode MS"/>
          </w:rPr>
          <w:fldChar w:fldCharType="separate"/>
        </w:r>
        <w:r w:rsidR="00703729">
          <w:rPr>
            <w:rStyle w:val="Lienhypertexte"/>
            <w:rFonts w:eastAsia="Arial Unicode MS"/>
            <w:webHidden/>
            <w:color w:val="auto"/>
          </w:rPr>
          <w:t>53</w:t>
        </w:r>
        <w:r w:rsidR="0055535A">
          <w:rPr>
            <w:rStyle w:val="Lienhypertexte"/>
            <w:rFonts w:eastAsia="Arial Unicode MS"/>
          </w:rPr>
          <w:fldChar w:fldCharType="end"/>
        </w:r>
      </w:hyperlink>
    </w:p>
    <w:p w:rsidR="0055535A" w:rsidRDefault="0055535A" w:rsidP="0055535A">
      <w:pPr>
        <w:pStyle w:val="TM1"/>
        <w:rPr>
          <w:rFonts w:ascii="Arial" w:hAnsi="Arial" w:cs="Arial"/>
          <w:sz w:val="18"/>
          <w:szCs w:val="18"/>
        </w:rPr>
      </w:pPr>
      <w:r>
        <w:fldChar w:fldCharType="end"/>
      </w:r>
      <w:bookmarkStart w:id="6" w:name="_Toc370814259"/>
    </w:p>
    <w:p w:rsidR="0055535A" w:rsidRDefault="0055535A" w:rsidP="0055535A">
      <w:pPr>
        <w:widowControl/>
        <w:suppressAutoHyphens w:val="0"/>
        <w:rPr>
          <w:rFonts w:ascii="Times New Roman" w:hAnsi="Times New Roman"/>
          <w:b/>
          <w:bCs/>
          <w:caps/>
        </w:rPr>
      </w:pPr>
      <w:r>
        <w:br w:type="page"/>
      </w:r>
    </w:p>
    <w:p w:rsidR="0055535A" w:rsidRDefault="0055535A" w:rsidP="0055535A">
      <w:pPr>
        <w:pStyle w:val="TM1"/>
        <w:rPr>
          <w:rFonts w:ascii="Arial" w:hAnsi="Arial"/>
          <w:sz w:val="20"/>
        </w:rPr>
      </w:pPr>
      <w:r>
        <w:t>Acronymes</w:t>
      </w:r>
      <w:bookmarkEnd w:id="4"/>
      <w:bookmarkEnd w:id="5"/>
      <w:bookmarkEnd w:id="6"/>
    </w:p>
    <w:p w:rsidR="0055535A" w:rsidRDefault="0055535A" w:rsidP="0055535A">
      <w:pPr>
        <w:pStyle w:val="Illustration"/>
        <w:suppressLineNumbers w:val="0"/>
        <w:spacing w:before="0" w:after="0"/>
        <w:rPr>
          <w:rFonts w:cs="Arial"/>
        </w:rPr>
      </w:pPr>
    </w:p>
    <w:tbl>
      <w:tblPr>
        <w:tblW w:w="824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4A0" w:firstRow="1" w:lastRow="0" w:firstColumn="1" w:lastColumn="0" w:noHBand="0" w:noVBand="1"/>
      </w:tblPr>
      <w:tblGrid>
        <w:gridCol w:w="1579"/>
        <w:gridCol w:w="6662"/>
      </w:tblGrid>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AE</w:t>
            </w:r>
          </w:p>
        </w:tc>
        <w:tc>
          <w:tcPr>
            <w:tcW w:w="6662"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Accord d’Exécution</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AmbaBel</w:t>
            </w:r>
          </w:p>
        </w:tc>
        <w:tc>
          <w:tcPr>
            <w:tcW w:w="6662"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Ambassade de la Belgique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AM/PAPSBU</w:t>
            </w:r>
          </w:p>
        </w:tc>
        <w:tc>
          <w:tcPr>
            <w:tcW w:w="6662"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Amagara Meza / Projet d’Appui à la Politique Sectorielle du Burundi</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ANO</w:t>
            </w:r>
          </w:p>
        </w:tc>
        <w:tc>
          <w:tcPr>
            <w:tcW w:w="6662"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Avis de Non-Objection</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APP</w:t>
            </w:r>
          </w:p>
        </w:tc>
        <w:tc>
          <w:tcPr>
            <w:tcW w:w="6662" w:type="dxa"/>
            <w:tcBorders>
              <w:top w:val="single" w:sz="4" w:space="0" w:color="C0C0C0"/>
              <w:left w:val="single" w:sz="4" w:space="0" w:color="C0C0C0"/>
              <w:bottom w:val="single" w:sz="4" w:space="0" w:color="C0C0C0"/>
              <w:right w:val="single" w:sz="4" w:space="0" w:color="C0C0C0"/>
            </w:tcBorders>
            <w:tcMar>
              <w:top w:w="19" w:type="dxa"/>
              <w:left w:w="19" w:type="dxa"/>
              <w:bottom w:w="0" w:type="dxa"/>
              <w:right w:w="19" w:type="dxa"/>
            </w:tcMar>
            <w:hideMark/>
          </w:tcPr>
          <w:p w:rsidR="0055535A" w:rsidRDefault="0055535A">
            <w:pPr>
              <w:rPr>
                <w:rFonts w:eastAsia="Arial Unicode MS" w:cs="Arial"/>
                <w:sz w:val="20"/>
                <w:szCs w:val="20"/>
              </w:rPr>
            </w:pPr>
            <w:r>
              <w:rPr>
                <w:rFonts w:eastAsia="Arial Unicode MS" w:cs="Arial"/>
                <w:sz w:val="20"/>
                <w:szCs w:val="20"/>
              </w:rPr>
              <w:t>Apprentissage par résolution des problèmes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ASC</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Agent de Santé Communautaire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ATI</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Assistant technique international</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ATJ</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Assistant technique junior</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ATN</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Assistent technique national</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BDI</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Burundi</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BDS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Bureau de District de Santé</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BM</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Banque Mondiale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BPS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Bureau Provincial de la Santé</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CAM</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Carte d’Assistance Médicale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CDS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 xml:space="preserve">Centre De Santé </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CNP</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Cellule Nationale Pédagogique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COSA</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Comité de Santé</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CPSD</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Cadre de concertation des Partenaires pour la Santé et le Développement</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CPVV</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 xml:space="preserve">Comité provincial de Vérification et de Validation </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CSC</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Cahier Spécial de Charge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CSLP</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Cadre Stratégique de Lutte contre la Pauvreté</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CTB</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Coopération Technique Belge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 xml:space="preserve">CTN </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Cellule Technique Nationale (du FBP)</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DAO</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Dossier d’Appel d’Offres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DBA</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Direction du Budget et Approvisionnements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Delco</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Délégué à la Cogestion</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DGP</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Direction Générale de la Planification</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DGR</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Direction Générale des Ressources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DGSSLS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Directeur Général des Services de Santé et de la Lutte contre le Sida</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Directeur d’Intervention</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DNMP</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Direction Nationale des Marchés Publics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DODS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Direction de l’Offre et de la Demande des Soins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DRH</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Direction des Ressources Humaines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District de Santé</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DSNIS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Direction du Système National d’Information Sanitaire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DTF</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Dossier Technique et Financier</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ECD</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Equipe Cadre de District</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ECOSAN</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Ecological Sanitation</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EMP</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Evaluation à Mi-Parcours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EPM</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Ecole Para Médicale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ETAL</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Ecole des Techniciens d’Assainissement et de Laboratoire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FBP</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Financement Basé par la Performance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FBU</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Franc Burundais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FNUAP</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United Nations Population Fund</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Fosa</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Formation Sanitaire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GESIS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ascii="Sylfaen" w:hAnsi="Sylfaen" w:cs="Arial"/>
                <w:sz w:val="20"/>
                <w:szCs w:val="20"/>
              </w:rPr>
            </w:pPr>
            <w:r>
              <w:rPr>
                <w:rFonts w:cs="Arial"/>
                <w:sz w:val="20"/>
                <w:szCs w:val="20"/>
              </w:rPr>
              <w:t>Gestion du Système d’Information Sanitaire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GIZ</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lang w:val="de-DE"/>
              </w:rPr>
            </w:pPr>
            <w:r>
              <w:rPr>
                <w:rFonts w:cs="Arial"/>
                <w:sz w:val="20"/>
                <w:szCs w:val="20"/>
                <w:lang w:val="de-DE"/>
              </w:rPr>
              <w:t>Deutsche Gezellschaft für Internationale Zusammenarbeit</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GT</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Groupe Thématique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HD</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Hôpital de District</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IEC</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Information, Education et Communication</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IMT</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Institut de Médecine Tropicale (Anvers)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INSP</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Institut National de Santé Publique</w:t>
            </w:r>
          </w:p>
        </w:tc>
      </w:tr>
      <w:tr w:rsidR="0055535A" w:rsidTr="0055535A">
        <w:trPr>
          <w:trHeight w:val="77"/>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JICA</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Japanese International Cooperation Agency</w:t>
            </w:r>
          </w:p>
        </w:tc>
      </w:tr>
      <w:tr w:rsidR="0055535A" w:rsidTr="0055535A">
        <w:trPr>
          <w:trHeight w:val="77"/>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MSF</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Médecins Sans Frontières</w:t>
            </w:r>
          </w:p>
        </w:tc>
      </w:tr>
      <w:tr w:rsidR="0055535A" w:rsidTr="0055535A">
        <w:trPr>
          <w:trHeight w:val="77"/>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MSPLS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Ministère de la Santé Publique et de la Lutte contre le Sida</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OMS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Organisation Mondiale de la Santé</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ONG</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Organisation Non Gouvernementale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PAA</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Plan Annuel d’Activités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PAORC</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Projet d’Appui aux Organisations par le Renforcement des Compétences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PAISS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Programme d’Appui Institutionnel au Secteur de la Santé</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PCA</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Paquet Complémentaire d’Activités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PEC</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Plan d’Extension de la Couverture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PF</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Planification Familiale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PMA</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Paquet Minimum d’Activités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PNDS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Plan National de Développement Sanitaire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PNLS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Programme National de Lutte contre le Sida</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PNSR</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Programme National de Santé de la Reproduction</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PTF</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Partenaires Techniques et Financiers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RAFi</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Responsable Administratif et Financier International</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RH</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Ressources Humaines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ROI</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Règlement d’Ordre Intérieur</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RR</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 xml:space="preserve">Représentant Résident </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SIS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Système d’Information Sanitaire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SMCL</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Structure Mixte de Concertation Locale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SNIS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Système National d’Information Sanitaire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SPT</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Stratégie Plainte Traitement</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SRCR</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Système de Référence / Contre-Référence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TdR</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Termes de Référence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TPS</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Technicien de Promotion de la Santé</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UAG</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Unité d’Appui et de Gestion (du PAISS)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UE</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Union Européenne</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UNFPA</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Fonds des Nations Unies pour la Population (en français)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UNICEF</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Fonds des Nations Unies pour l’Enfance (en français)</w:t>
            </w:r>
          </w:p>
        </w:tc>
      </w:tr>
      <w:tr w:rsidR="0055535A" w:rsidTr="0055535A">
        <w:trPr>
          <w:trHeight w:val="255"/>
        </w:trPr>
        <w:tc>
          <w:tcPr>
            <w:tcW w:w="1579"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UP</w:t>
            </w:r>
          </w:p>
        </w:tc>
        <w:tc>
          <w:tcPr>
            <w:tcW w:w="6662" w:type="dxa"/>
            <w:tcBorders>
              <w:top w:val="single" w:sz="4" w:space="0" w:color="C0C0C0"/>
              <w:left w:val="single" w:sz="4" w:space="0" w:color="C0C0C0"/>
              <w:bottom w:val="single" w:sz="4" w:space="0" w:color="C0C0C0"/>
              <w:right w:val="single" w:sz="4" w:space="0" w:color="C0C0C0"/>
            </w:tcBorders>
            <w:noWrap/>
            <w:tcMar>
              <w:top w:w="19" w:type="dxa"/>
              <w:left w:w="19" w:type="dxa"/>
              <w:bottom w:w="0" w:type="dxa"/>
              <w:right w:w="19" w:type="dxa"/>
            </w:tcMar>
            <w:hideMark/>
          </w:tcPr>
          <w:p w:rsidR="0055535A" w:rsidRDefault="0055535A">
            <w:pPr>
              <w:rPr>
                <w:rFonts w:cs="Arial"/>
                <w:sz w:val="20"/>
                <w:szCs w:val="20"/>
              </w:rPr>
            </w:pPr>
            <w:r>
              <w:rPr>
                <w:rFonts w:cs="Arial"/>
                <w:sz w:val="20"/>
                <w:szCs w:val="20"/>
              </w:rPr>
              <w:t>Unité de Prestation (au MSPLS)</w:t>
            </w:r>
          </w:p>
        </w:tc>
      </w:tr>
    </w:tbl>
    <w:p w:rsidR="0055535A" w:rsidRDefault="0055535A" w:rsidP="0055535A">
      <w:pPr>
        <w:rPr>
          <w:rFonts w:cs="Arial"/>
        </w:rPr>
      </w:pPr>
    </w:p>
    <w:p w:rsidR="0055535A" w:rsidRDefault="0055535A" w:rsidP="0055535A">
      <w:pPr>
        <w:pStyle w:val="Titre1"/>
        <w:numPr>
          <w:ilvl w:val="0"/>
          <w:numId w:val="16"/>
        </w:numPr>
      </w:pPr>
      <w:bookmarkStart w:id="7" w:name="_Toc475972136"/>
      <w:bookmarkStart w:id="8" w:name="_Toc411938789"/>
      <w:bookmarkStart w:id="9" w:name="_Toc370814260"/>
      <w:bookmarkStart w:id="10" w:name="_Toc370814184"/>
      <w:bookmarkStart w:id="11" w:name="_Toc305765842"/>
      <w:r>
        <w:t>Aperçu de l'intervention</w:t>
      </w:r>
      <w:bookmarkEnd w:id="7"/>
      <w:bookmarkEnd w:id="8"/>
      <w:bookmarkEnd w:id="9"/>
      <w:bookmarkEnd w:id="10"/>
      <w:r>
        <w:t xml:space="preserve"> </w:t>
      </w:r>
    </w:p>
    <w:p w:rsidR="0055535A" w:rsidRDefault="0055535A" w:rsidP="0055535A">
      <w:pPr>
        <w:pStyle w:val="Titre2"/>
        <w:numPr>
          <w:ilvl w:val="1"/>
          <w:numId w:val="16"/>
        </w:numPr>
        <w:tabs>
          <w:tab w:val="clear" w:pos="3978"/>
          <w:tab w:val="num" w:pos="576"/>
        </w:tabs>
        <w:ind w:left="576"/>
      </w:pPr>
      <w:bookmarkStart w:id="12" w:name="_Toc475972137"/>
      <w:bookmarkStart w:id="13" w:name="_Toc411938790"/>
      <w:bookmarkStart w:id="14" w:name="_Toc370814261"/>
      <w:bookmarkStart w:id="15" w:name="_Toc370814185"/>
      <w:r>
        <w:t>Fiche d'intervention</w:t>
      </w:r>
      <w:bookmarkEnd w:id="11"/>
      <w:bookmarkEnd w:id="12"/>
      <w:bookmarkEnd w:id="13"/>
      <w:bookmarkEnd w:id="14"/>
      <w:bookmarkEnd w:id="15"/>
    </w:p>
    <w:tbl>
      <w:tblPr>
        <w:tblW w:w="8670" w:type="dxa"/>
        <w:tblInd w:w="-127" w:type="dxa"/>
        <w:tblLayout w:type="fixed"/>
        <w:tblCellMar>
          <w:left w:w="0" w:type="dxa"/>
          <w:right w:w="0" w:type="dxa"/>
        </w:tblCellMar>
        <w:tblLook w:val="04A0" w:firstRow="1" w:lastRow="0" w:firstColumn="1" w:lastColumn="0" w:noHBand="0" w:noVBand="1"/>
      </w:tblPr>
      <w:tblGrid>
        <w:gridCol w:w="2977"/>
        <w:gridCol w:w="5693"/>
      </w:tblGrid>
      <w:tr w:rsidR="0055535A" w:rsidTr="0055535A">
        <w:trPr>
          <w:trHeight w:val="255"/>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b/>
                <w:sz w:val="20"/>
                <w:szCs w:val="20"/>
              </w:rPr>
            </w:pPr>
            <w:r>
              <w:rPr>
                <w:b/>
                <w:sz w:val="20"/>
              </w:rPr>
              <w:t>Intitulé de l'intervention</w:t>
            </w:r>
          </w:p>
        </w:tc>
        <w:tc>
          <w:tcPr>
            <w:tcW w:w="5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5535A" w:rsidRDefault="0055535A">
            <w:pPr>
              <w:rPr>
                <w:rFonts w:eastAsia="Arial Unicode MS" w:cs="Arial"/>
                <w:sz w:val="20"/>
                <w:szCs w:val="20"/>
              </w:rPr>
            </w:pPr>
          </w:p>
          <w:p w:rsidR="0055535A" w:rsidRDefault="0055535A">
            <w:pPr>
              <w:rPr>
                <w:rFonts w:eastAsia="Arial Unicode MS" w:cs="Arial"/>
                <w:sz w:val="20"/>
                <w:szCs w:val="20"/>
              </w:rPr>
            </w:pPr>
            <w:r>
              <w:rPr>
                <w:rFonts w:eastAsia="Arial Unicode MS" w:cs="Arial"/>
                <w:sz w:val="20"/>
                <w:szCs w:val="20"/>
              </w:rPr>
              <w:t>Projet d’Appui au Système National d’Information Sanitaire du Ministère de la Santé Publique et de la Lutte contre le Sida (SNIS volet 4)</w:t>
            </w:r>
          </w:p>
          <w:p w:rsidR="0055535A" w:rsidRDefault="0055535A">
            <w:pPr>
              <w:rPr>
                <w:rFonts w:eastAsia="Arial Unicode MS" w:cs="Arial"/>
                <w:sz w:val="20"/>
                <w:szCs w:val="20"/>
              </w:rPr>
            </w:pPr>
          </w:p>
          <w:p w:rsidR="0055535A" w:rsidRDefault="0055535A">
            <w:pPr>
              <w:rPr>
                <w:rFonts w:eastAsia="Arial Unicode MS" w:cs="Arial"/>
                <w:sz w:val="20"/>
                <w:szCs w:val="20"/>
              </w:rPr>
            </w:pPr>
            <w:r>
              <w:rPr>
                <w:rFonts w:eastAsia="Arial Unicode MS" w:cs="Arial"/>
                <w:sz w:val="20"/>
                <w:szCs w:val="20"/>
              </w:rPr>
              <w:t>Programme d’Appui Institutionnel au Secteur de la Santé au Burundi – volet 5 : Appui aux Infrastructures, Equipements et Maintenance (PAISS volet 5)</w:t>
            </w:r>
          </w:p>
          <w:p w:rsidR="0055535A" w:rsidRDefault="0055535A">
            <w:pPr>
              <w:rPr>
                <w:rFonts w:eastAsia="Arial Unicode MS" w:cs="Arial"/>
                <w:sz w:val="20"/>
                <w:szCs w:val="20"/>
              </w:rPr>
            </w:pPr>
          </w:p>
          <w:p w:rsidR="0055535A" w:rsidRDefault="0055535A">
            <w:pPr>
              <w:rPr>
                <w:rFonts w:eastAsia="Arial Unicode MS" w:cs="Arial"/>
                <w:sz w:val="20"/>
                <w:szCs w:val="20"/>
              </w:rPr>
            </w:pPr>
            <w:r>
              <w:rPr>
                <w:rFonts w:eastAsia="Arial Unicode MS" w:cs="Arial"/>
                <w:sz w:val="20"/>
                <w:szCs w:val="20"/>
              </w:rPr>
              <w:t>Programme d’Appui Institutionnel au Secteur de la Santé au Burundi – Phase de Consolidation (PAISS PC)</w:t>
            </w:r>
          </w:p>
        </w:tc>
      </w:tr>
      <w:tr w:rsidR="0055535A" w:rsidTr="0055535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b/>
                <w:sz w:val="20"/>
                <w:szCs w:val="20"/>
              </w:rPr>
            </w:pPr>
            <w:r>
              <w:rPr>
                <w:b/>
                <w:sz w:val="20"/>
              </w:rPr>
              <w:t>Code de l'intervention</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sz w:val="20"/>
                <w:lang w:val="it-IT"/>
              </w:rPr>
            </w:pPr>
            <w:r>
              <w:rPr>
                <w:sz w:val="20"/>
                <w:lang w:val="it-IT"/>
              </w:rPr>
              <w:t>BDI 1006811 (SNIS volet 4)</w:t>
            </w:r>
          </w:p>
          <w:p w:rsidR="0055535A" w:rsidRDefault="0055535A">
            <w:pPr>
              <w:rPr>
                <w:sz w:val="20"/>
                <w:lang w:val="it-IT"/>
              </w:rPr>
            </w:pPr>
            <w:r>
              <w:rPr>
                <w:sz w:val="20"/>
                <w:lang w:val="it-IT"/>
              </w:rPr>
              <w:t>BDI 1307911 (PAISS volet 5)</w:t>
            </w:r>
          </w:p>
          <w:p w:rsidR="0055535A" w:rsidRDefault="0055535A">
            <w:pPr>
              <w:rPr>
                <w:sz w:val="20"/>
              </w:rPr>
            </w:pPr>
            <w:r>
              <w:rPr>
                <w:sz w:val="20"/>
              </w:rPr>
              <w:t>BDI 1408811 (PAISS PC)</w:t>
            </w:r>
          </w:p>
        </w:tc>
      </w:tr>
      <w:tr w:rsidR="0055535A" w:rsidTr="0055535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b/>
                <w:sz w:val="20"/>
                <w:szCs w:val="20"/>
              </w:rPr>
            </w:pPr>
            <w:r>
              <w:rPr>
                <w:b/>
                <w:sz w:val="20"/>
              </w:rPr>
              <w:t>Localisation</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sz w:val="20"/>
              </w:rPr>
            </w:pPr>
            <w:r>
              <w:rPr>
                <w:sz w:val="20"/>
              </w:rPr>
              <w:t>Burundi</w:t>
            </w:r>
          </w:p>
        </w:tc>
      </w:tr>
      <w:tr w:rsidR="0055535A" w:rsidTr="0055535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b/>
                <w:sz w:val="20"/>
                <w:szCs w:val="20"/>
              </w:rPr>
            </w:pPr>
            <w:r>
              <w:rPr>
                <w:b/>
                <w:sz w:val="20"/>
              </w:rPr>
              <w:t>Budget total</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sz w:val="20"/>
                <w:szCs w:val="20"/>
              </w:rPr>
            </w:pPr>
            <w:r>
              <w:rPr>
                <w:rFonts w:eastAsia="Arial Unicode MS" w:cs="Arial"/>
                <w:sz w:val="20"/>
                <w:szCs w:val="20"/>
              </w:rPr>
              <w:t xml:space="preserve">Pour SNIS   volet 4 :   </w:t>
            </w:r>
            <w:r>
              <w:rPr>
                <w:rFonts w:eastAsia="Arial Unicode MS" w:cs="Arial"/>
                <w:sz w:val="20"/>
                <w:szCs w:val="20"/>
              </w:rPr>
              <w:tab/>
              <w:t>8.000.000 €</w:t>
            </w:r>
          </w:p>
          <w:p w:rsidR="0055535A" w:rsidRDefault="0055535A">
            <w:pPr>
              <w:rPr>
                <w:rFonts w:eastAsia="Arial Unicode MS" w:cs="Arial"/>
                <w:sz w:val="20"/>
                <w:szCs w:val="20"/>
              </w:rPr>
            </w:pPr>
            <w:r>
              <w:rPr>
                <w:rFonts w:eastAsia="Arial Unicode MS" w:cs="Arial"/>
                <w:sz w:val="20"/>
                <w:szCs w:val="20"/>
              </w:rPr>
              <w:t>Pour PAISS volet 5 :      9.000.000 €</w:t>
            </w:r>
          </w:p>
          <w:p w:rsidR="0055535A" w:rsidRDefault="0055535A">
            <w:pPr>
              <w:rPr>
                <w:rFonts w:eastAsia="Arial Unicode MS" w:cs="Arial"/>
                <w:sz w:val="20"/>
                <w:szCs w:val="20"/>
              </w:rPr>
            </w:pPr>
            <w:r>
              <w:rPr>
                <w:rFonts w:eastAsia="Arial Unicode MS" w:cs="Arial"/>
                <w:sz w:val="20"/>
                <w:szCs w:val="20"/>
              </w:rPr>
              <w:t>Pour PAISS volet PC :   2.182.437 €</w:t>
            </w:r>
          </w:p>
        </w:tc>
      </w:tr>
      <w:tr w:rsidR="0055535A" w:rsidTr="0055535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b/>
                <w:sz w:val="20"/>
                <w:szCs w:val="20"/>
              </w:rPr>
            </w:pPr>
            <w:r>
              <w:rPr>
                <w:rFonts w:eastAsia="Arial Unicode MS" w:cs="Arial"/>
                <w:b/>
                <w:sz w:val="20"/>
                <w:szCs w:val="20"/>
              </w:rPr>
              <w:t>Institution partenaire</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sz w:val="20"/>
              </w:rPr>
            </w:pPr>
            <w:r>
              <w:rPr>
                <w:sz w:val="20"/>
              </w:rPr>
              <w:t>Ministère de la Santé Publique et de la Lutte contre le Sida</w:t>
            </w:r>
          </w:p>
        </w:tc>
      </w:tr>
      <w:tr w:rsidR="0055535A" w:rsidTr="0055535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cs="Arial"/>
                <w:b/>
                <w:sz w:val="20"/>
                <w:szCs w:val="20"/>
              </w:rPr>
            </w:pPr>
            <w:r>
              <w:rPr>
                <w:b/>
                <w:sz w:val="20"/>
              </w:rPr>
              <w:t>Date de début de la Convention spécifique</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sz w:val="20"/>
                <w:szCs w:val="20"/>
              </w:rPr>
            </w:pPr>
            <w:r>
              <w:rPr>
                <w:rFonts w:eastAsia="Arial Unicode MS" w:cs="Arial"/>
                <w:sz w:val="20"/>
                <w:szCs w:val="20"/>
              </w:rPr>
              <w:t>SNIS volet 4 : 05/12/2011</w:t>
            </w:r>
          </w:p>
          <w:p w:rsidR="0055535A" w:rsidRDefault="0055535A">
            <w:pPr>
              <w:rPr>
                <w:rFonts w:eastAsia="Arial Unicode MS" w:cs="Arial"/>
                <w:sz w:val="20"/>
                <w:szCs w:val="20"/>
              </w:rPr>
            </w:pPr>
            <w:r>
              <w:rPr>
                <w:rFonts w:eastAsia="Arial Unicode MS" w:cs="Arial"/>
                <w:sz w:val="20"/>
                <w:szCs w:val="20"/>
              </w:rPr>
              <w:t>PAISS volet 5 : 22/10/2014</w:t>
            </w:r>
          </w:p>
          <w:p w:rsidR="0055535A" w:rsidRDefault="0055535A">
            <w:pPr>
              <w:rPr>
                <w:rFonts w:eastAsia="Arial Unicode MS" w:cs="Arial"/>
                <w:sz w:val="20"/>
                <w:szCs w:val="20"/>
              </w:rPr>
            </w:pPr>
            <w:r>
              <w:rPr>
                <w:rFonts w:eastAsia="Arial Unicode MS" w:cs="Arial"/>
                <w:sz w:val="20"/>
                <w:szCs w:val="20"/>
              </w:rPr>
              <w:t>PAISS volet PC : 13/11/2014</w:t>
            </w:r>
          </w:p>
        </w:tc>
      </w:tr>
      <w:tr w:rsidR="0055535A" w:rsidTr="0055535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pStyle w:val="PreformattedText"/>
              <w:rPr>
                <w:rFonts w:ascii="Arial" w:eastAsia="Arial Unicode MS" w:hAnsi="Arial" w:cs="Arial"/>
                <w:b/>
              </w:rPr>
            </w:pPr>
            <w:r>
              <w:rPr>
                <w:rFonts w:ascii="Arial" w:hAnsi="Arial"/>
                <w:b/>
              </w:rPr>
              <w:t>Date de démarrage de l'intervention/ Comité de pilotage d’ouverture</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sz w:val="20"/>
                <w:szCs w:val="20"/>
              </w:rPr>
            </w:pPr>
            <w:r>
              <w:rPr>
                <w:sz w:val="20"/>
                <w:szCs w:val="20"/>
              </w:rPr>
              <w:t>SNIS volet 4 : 03/04/2012</w:t>
            </w:r>
          </w:p>
          <w:p w:rsidR="0055535A" w:rsidRDefault="0055535A">
            <w:pPr>
              <w:rPr>
                <w:rFonts w:eastAsia="Arial Unicode MS" w:cs="Arial"/>
                <w:sz w:val="20"/>
                <w:szCs w:val="20"/>
              </w:rPr>
            </w:pPr>
            <w:r>
              <w:rPr>
                <w:rFonts w:eastAsia="Arial Unicode MS" w:cs="Arial"/>
                <w:sz w:val="20"/>
                <w:szCs w:val="20"/>
              </w:rPr>
              <w:t>PAISS volet 5 : 20/11/2014</w:t>
            </w:r>
          </w:p>
          <w:p w:rsidR="0055535A" w:rsidRDefault="0055535A">
            <w:pPr>
              <w:rPr>
                <w:rFonts w:eastAsia="Arial Unicode MS" w:cs="Arial"/>
                <w:sz w:val="20"/>
                <w:szCs w:val="20"/>
              </w:rPr>
            </w:pPr>
            <w:r>
              <w:rPr>
                <w:rFonts w:eastAsia="Arial Unicode MS" w:cs="Arial"/>
                <w:sz w:val="20"/>
                <w:szCs w:val="20"/>
              </w:rPr>
              <w:t>PAISS volet PC : 27/03/2015</w:t>
            </w:r>
          </w:p>
        </w:tc>
      </w:tr>
      <w:tr w:rsidR="0055535A" w:rsidTr="0055535A">
        <w:trPr>
          <w:trHeight w:val="255"/>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pStyle w:val="PreformattedText"/>
              <w:rPr>
                <w:rFonts w:ascii="Arial" w:hAnsi="Arial" w:cs="Arial"/>
                <w:b/>
              </w:rPr>
            </w:pPr>
            <w:r>
              <w:rPr>
                <w:rFonts w:ascii="Arial" w:hAnsi="Arial"/>
                <w:b/>
              </w:rPr>
              <w:t>Date prévue de fin d'exécution</w:t>
            </w:r>
          </w:p>
        </w:tc>
        <w:tc>
          <w:tcPr>
            <w:tcW w:w="5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sz w:val="20"/>
                <w:szCs w:val="20"/>
              </w:rPr>
            </w:pPr>
            <w:r>
              <w:rPr>
                <w:rFonts w:eastAsia="Arial Unicode MS" w:cs="Arial"/>
                <w:sz w:val="20"/>
                <w:szCs w:val="20"/>
              </w:rPr>
              <w:t>SNIS volet 4 : 02/04/2019</w:t>
            </w:r>
          </w:p>
          <w:p w:rsidR="0055535A" w:rsidRDefault="0055535A">
            <w:pPr>
              <w:rPr>
                <w:rFonts w:eastAsia="Arial Unicode MS" w:cs="Arial"/>
                <w:sz w:val="20"/>
                <w:szCs w:val="20"/>
              </w:rPr>
            </w:pPr>
            <w:r>
              <w:rPr>
                <w:rFonts w:eastAsia="Arial Unicode MS" w:cs="Arial"/>
                <w:sz w:val="20"/>
                <w:szCs w:val="20"/>
              </w:rPr>
              <w:t>PAISS volet 5 : 19/11/2018</w:t>
            </w:r>
          </w:p>
          <w:p w:rsidR="0055535A" w:rsidRDefault="0055535A">
            <w:pPr>
              <w:rPr>
                <w:rFonts w:cs="Arial"/>
                <w:b/>
                <w:color w:val="FF0000"/>
                <w:sz w:val="20"/>
                <w:szCs w:val="20"/>
              </w:rPr>
            </w:pPr>
            <w:r>
              <w:rPr>
                <w:rFonts w:eastAsia="Arial Unicode MS" w:cs="Arial"/>
                <w:sz w:val="20"/>
                <w:szCs w:val="20"/>
              </w:rPr>
              <w:t>PAISS volet PC : 31/03/2017</w:t>
            </w:r>
          </w:p>
        </w:tc>
      </w:tr>
      <w:tr w:rsidR="0055535A" w:rsidTr="0055535A">
        <w:trPr>
          <w:trHeight w:val="255"/>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b/>
                <w:sz w:val="20"/>
                <w:szCs w:val="20"/>
              </w:rPr>
            </w:pPr>
            <w:r>
              <w:rPr>
                <w:b/>
                <w:sz w:val="20"/>
              </w:rPr>
              <w:t>Date de fin de la Convention spécifique</w:t>
            </w:r>
          </w:p>
        </w:tc>
        <w:tc>
          <w:tcPr>
            <w:tcW w:w="5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sz w:val="20"/>
                <w:szCs w:val="20"/>
              </w:rPr>
            </w:pPr>
            <w:r>
              <w:rPr>
                <w:rFonts w:eastAsia="Arial Unicode MS" w:cs="Arial"/>
                <w:sz w:val="20"/>
                <w:szCs w:val="20"/>
              </w:rPr>
              <w:t>SNIS volet 4 : 04/12/2019</w:t>
            </w:r>
          </w:p>
          <w:p w:rsidR="0055535A" w:rsidRDefault="0055535A">
            <w:pPr>
              <w:rPr>
                <w:rFonts w:eastAsia="Arial Unicode MS" w:cs="Arial"/>
                <w:sz w:val="20"/>
                <w:szCs w:val="20"/>
              </w:rPr>
            </w:pPr>
            <w:r>
              <w:rPr>
                <w:rFonts w:eastAsia="Arial Unicode MS" w:cs="Arial"/>
                <w:sz w:val="20"/>
                <w:szCs w:val="20"/>
              </w:rPr>
              <w:t>PAISS volet 5 : 21/10/2020</w:t>
            </w:r>
          </w:p>
          <w:p w:rsidR="0055535A" w:rsidRDefault="0055535A">
            <w:pPr>
              <w:rPr>
                <w:rFonts w:eastAsia="Arial Unicode MS" w:cs="Arial"/>
                <w:b/>
                <w:color w:val="FF0000"/>
                <w:sz w:val="20"/>
                <w:szCs w:val="20"/>
              </w:rPr>
            </w:pPr>
            <w:r>
              <w:rPr>
                <w:rFonts w:eastAsia="Arial Unicode MS" w:cs="Arial"/>
                <w:sz w:val="20"/>
                <w:szCs w:val="20"/>
              </w:rPr>
              <w:t>PAISS volet PC : 12/11/2017</w:t>
            </w:r>
          </w:p>
        </w:tc>
      </w:tr>
      <w:tr w:rsidR="0055535A" w:rsidTr="0055535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b/>
                <w:sz w:val="20"/>
                <w:szCs w:val="20"/>
              </w:rPr>
            </w:pPr>
            <w:r>
              <w:rPr>
                <w:b/>
                <w:sz w:val="20"/>
              </w:rPr>
              <w:t>Groupes cibles</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sz w:val="20"/>
                <w:szCs w:val="20"/>
              </w:rPr>
            </w:pPr>
            <w:r>
              <w:rPr>
                <w:sz w:val="20"/>
                <w:szCs w:val="20"/>
              </w:rPr>
              <w:t>Toute la population burundaise</w:t>
            </w:r>
          </w:p>
        </w:tc>
      </w:tr>
      <w:tr w:rsidR="0055535A" w:rsidTr="0055535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widowControl/>
              <w:suppressAutoHyphens w:val="0"/>
              <w:rPr>
                <w:rFonts w:ascii="Times New Roman" w:hAnsi="Times New Roman"/>
                <w:b/>
              </w:rPr>
            </w:pPr>
            <w:r>
              <w:rPr>
                <w:b/>
                <w:sz w:val="20"/>
              </w:rPr>
              <w:t>Impact</w:t>
            </w:r>
            <w:r>
              <w:rPr>
                <w:rStyle w:val="Appelnotedebasdep"/>
                <w:rFonts w:eastAsia="Arial Unicode MS"/>
              </w:rPr>
              <w:footnoteReference w:id="1"/>
            </w:r>
            <w:r>
              <w:rPr>
                <w:rFonts w:ascii="Times New Roman" w:hAnsi="Times New Roman"/>
                <w:b/>
              </w:rPr>
              <w:t xml:space="preserve"> </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sz w:val="20"/>
                <w:szCs w:val="20"/>
              </w:rPr>
            </w:pPr>
            <w:r>
              <w:rPr>
                <w:sz w:val="20"/>
                <w:szCs w:val="20"/>
              </w:rPr>
              <w:t>La performance du système de santé au Burundi est améliorée</w:t>
            </w:r>
          </w:p>
        </w:tc>
      </w:tr>
      <w:tr w:rsidR="0055535A" w:rsidTr="0055535A">
        <w:trPr>
          <w:trHeight w:val="224"/>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b/>
                <w:sz w:val="20"/>
                <w:szCs w:val="20"/>
              </w:rPr>
            </w:pPr>
            <w:r>
              <w:rPr>
                <w:b/>
                <w:sz w:val="20"/>
              </w:rPr>
              <w:t>Outcome</w:t>
            </w:r>
          </w:p>
        </w:tc>
        <w:tc>
          <w:tcPr>
            <w:tcW w:w="5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sz w:val="20"/>
                <w:szCs w:val="20"/>
              </w:rPr>
            </w:pPr>
            <w:r>
              <w:rPr>
                <w:sz w:val="20"/>
                <w:szCs w:val="20"/>
              </w:rPr>
              <w:t>Les prestations de santé au bénéfice de la population augmentent en quantité et en qualité grâce à un appui aux fonctions régaliennes du Ministère, à une efficience accrue des structures périphériques (en premier lieu dans les provinces de Kirundo et Muramvya) et à une amélioration des compétences et de la motivation du personnel médical</w:t>
            </w:r>
          </w:p>
        </w:tc>
      </w:tr>
      <w:tr w:rsidR="0055535A" w:rsidTr="0055535A">
        <w:trPr>
          <w:cantSplit/>
          <w:trHeight w:val="255"/>
        </w:trPr>
        <w:tc>
          <w:tcPr>
            <w:tcW w:w="2977" w:type="dxa"/>
            <w:vMerge w:val="restart"/>
            <w:tcBorders>
              <w:top w:val="nil"/>
              <w:left w:val="single" w:sz="4" w:space="0" w:color="auto"/>
              <w:bottom w:val="nil"/>
              <w:right w:val="single" w:sz="4" w:space="0" w:color="auto"/>
            </w:tcBorders>
            <w:noWrap/>
            <w:tcMar>
              <w:top w:w="15" w:type="dxa"/>
              <w:left w:w="15" w:type="dxa"/>
              <w:bottom w:w="0" w:type="dxa"/>
              <w:right w:w="15" w:type="dxa"/>
            </w:tcMar>
            <w:vAlign w:val="center"/>
          </w:tcPr>
          <w:p w:rsidR="0055535A" w:rsidRDefault="0055535A">
            <w:pPr>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b/>
                <w:sz w:val="20"/>
                <w:szCs w:val="20"/>
              </w:rPr>
            </w:pPr>
            <w:r>
              <w:rPr>
                <w:b/>
                <w:sz w:val="20"/>
                <w:szCs w:val="20"/>
              </w:rPr>
              <w:t>VOLET 4 : APPUI AU SYSTÈME NATIONAL D’INFORMATION SANITAIRE</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R1 : La performance et le fonctionnement du SNIS sont améliorés</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R2 : Le parc informatique, bureautique et logistique du SNIS est fonctionnel</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R3 : Les capacités des agents de santé en matière de SNIS sont renforcées à tous les échelons du système de santé</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R4 : L’informatisation du secteur hospitalier est introduite et mise à l’échelle</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b/>
                <w:sz w:val="20"/>
                <w:szCs w:val="20"/>
              </w:rPr>
              <w:t>VOLET 5 : APPUI AUX INFRASTRUCTURES, EQUIPEMENTS ET MAINTENANCE</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b/>
                <w:sz w:val="20"/>
                <w:szCs w:val="20"/>
              </w:rPr>
            </w:pPr>
            <w:r>
              <w:rPr>
                <w:sz w:val="20"/>
                <w:szCs w:val="20"/>
              </w:rPr>
              <w:t>R1 : Les capacités de la DISE dans ses missions clés sont renforcées</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R2 : Une stratégie nationale de gestion et de maintenance est élaborée et mise en œuvre dans les zones d’intervention</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R3 : Les CdS des zones d’intervention sont mis à niveau selon les normes</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R4 : L’hôpital de district de Kiganda est réhabilité et construit selon les normes</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R5 : Le MSPLS est construit en accordance avec son plan directeur</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b/>
                <w:sz w:val="20"/>
                <w:szCs w:val="20"/>
              </w:rPr>
              <w:t>VOLET PC : PHASE DE CONSOLIDATION</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R1 : Les réformes institutionnelles sont appuyées à travers le développement des politiques et stratégies sectorielles</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b/>
                <w:sz w:val="20"/>
                <w:szCs w:val="20"/>
              </w:rPr>
            </w:pPr>
            <w:r>
              <w:rPr>
                <w:sz w:val="20"/>
                <w:szCs w:val="20"/>
              </w:rPr>
              <w:t>R2 : Le système de santé de district et la qualité des services sont renforcés</w:t>
            </w:r>
          </w:p>
        </w:tc>
      </w:tr>
      <w:tr w:rsidR="0055535A" w:rsidTr="0055535A">
        <w:trPr>
          <w:cantSplit/>
          <w:trHeight w:val="255"/>
        </w:trPr>
        <w:tc>
          <w:tcPr>
            <w:tcW w:w="2977" w:type="dxa"/>
            <w:vMerge/>
            <w:tcBorders>
              <w:top w:val="nil"/>
              <w:left w:val="single" w:sz="4" w:space="0" w:color="auto"/>
              <w:bottom w:val="nil"/>
              <w:right w:val="single" w:sz="4" w:space="0" w:color="auto"/>
            </w:tcBorders>
            <w:vAlign w:val="center"/>
            <w:hideMark/>
          </w:tcPr>
          <w:p w:rsidR="0055535A" w:rsidRDefault="0055535A">
            <w:pPr>
              <w:widowControl/>
              <w:suppressAutoHyphens w:val="0"/>
              <w:snapToGrid/>
              <w:rPr>
                <w:b/>
                <w:sz w:val="20"/>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hideMark/>
          </w:tcPr>
          <w:p w:rsidR="0055535A" w:rsidRDefault="0055535A">
            <w:pPr>
              <w:rPr>
                <w:sz w:val="20"/>
                <w:szCs w:val="20"/>
              </w:rPr>
            </w:pPr>
            <w:r>
              <w:rPr>
                <w:sz w:val="20"/>
                <w:szCs w:val="20"/>
              </w:rPr>
              <w:t>R3 : Des ressources humaines en santé sont disponibles aux différents niveaux du système de santé</w:t>
            </w:r>
          </w:p>
        </w:tc>
      </w:tr>
      <w:tr w:rsidR="0055535A" w:rsidTr="0055535A">
        <w:trPr>
          <w:trHeight w:val="318"/>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cs="Arial"/>
                <w:b/>
                <w:sz w:val="20"/>
                <w:szCs w:val="20"/>
              </w:rPr>
            </w:pPr>
            <w:r>
              <w:rPr>
                <w:b/>
                <w:sz w:val="20"/>
              </w:rPr>
              <w:t>Année couverte par le rapport</w:t>
            </w:r>
          </w:p>
        </w:tc>
        <w:tc>
          <w:tcPr>
            <w:tcW w:w="5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jc w:val="center"/>
              <w:rPr>
                <w:rFonts w:cs="Arial"/>
                <w:b/>
                <w:sz w:val="20"/>
                <w:szCs w:val="20"/>
              </w:rPr>
            </w:pPr>
            <w:r>
              <w:rPr>
                <w:rFonts w:cs="Arial"/>
                <w:b/>
                <w:sz w:val="20"/>
                <w:szCs w:val="20"/>
              </w:rPr>
              <w:t>2016</w:t>
            </w:r>
          </w:p>
        </w:tc>
      </w:tr>
    </w:tbl>
    <w:p w:rsidR="0055535A" w:rsidRDefault="0055535A" w:rsidP="0055535A">
      <w:pPr>
        <w:pStyle w:val="Titre2"/>
        <w:numPr>
          <w:ilvl w:val="0"/>
          <w:numId w:val="0"/>
        </w:numPr>
        <w:tabs>
          <w:tab w:val="left" w:pos="708"/>
        </w:tabs>
        <w:ind w:left="576"/>
      </w:pPr>
      <w:bookmarkStart w:id="16" w:name="_Toc475972138"/>
      <w:bookmarkStart w:id="17" w:name="_Toc411938791"/>
    </w:p>
    <w:p w:rsidR="0055535A" w:rsidRDefault="0055535A" w:rsidP="0055535A"/>
    <w:p w:rsidR="0055535A" w:rsidRDefault="0055535A" w:rsidP="0055535A">
      <w:pPr>
        <w:widowControl/>
        <w:suppressAutoHyphens w:val="0"/>
      </w:pPr>
      <w:r>
        <w:rPr>
          <w:snapToGrid w:val="0"/>
        </w:rPr>
        <w:br w:type="page"/>
      </w:r>
    </w:p>
    <w:p w:rsidR="0055535A" w:rsidRDefault="0055535A" w:rsidP="0055535A"/>
    <w:p w:rsidR="0055535A" w:rsidRDefault="0055535A" w:rsidP="0055535A">
      <w:pPr>
        <w:pStyle w:val="Titre2"/>
        <w:numPr>
          <w:ilvl w:val="1"/>
          <w:numId w:val="16"/>
        </w:numPr>
        <w:tabs>
          <w:tab w:val="clear" w:pos="3978"/>
          <w:tab w:val="num" w:pos="576"/>
        </w:tabs>
        <w:ind w:left="576"/>
      </w:pPr>
      <w:r>
        <w:t>Exécution budgétaire</w:t>
      </w:r>
      <w:bookmarkEnd w:id="16"/>
      <w:bookmarkEnd w:id="17"/>
      <w:r>
        <w:t xml:space="preserve"> </w:t>
      </w:r>
    </w:p>
    <w:p w:rsidR="0055535A" w:rsidRDefault="0055535A" w:rsidP="0055535A">
      <w:pPr>
        <w:widowControl/>
        <w:suppressAutoHyphens w:val="0"/>
        <w:rPr>
          <w:rFonts w:cs="Arial"/>
          <w:b/>
          <w:sz w:val="20"/>
          <w:szCs w:val="20"/>
          <w:u w:val="single"/>
        </w:rPr>
      </w:pPr>
    </w:p>
    <w:p w:rsidR="0055535A" w:rsidRDefault="0055535A" w:rsidP="0055535A">
      <w:pPr>
        <w:widowControl/>
        <w:suppressAutoHyphens w:val="0"/>
        <w:rPr>
          <w:rFonts w:cs="Arial"/>
          <w:b/>
          <w:sz w:val="20"/>
          <w:szCs w:val="20"/>
          <w:u w:val="single"/>
        </w:rPr>
      </w:pPr>
      <w:r>
        <w:rPr>
          <w:rFonts w:cs="Arial"/>
          <w:b/>
          <w:sz w:val="20"/>
          <w:szCs w:val="20"/>
          <w:u w:val="single"/>
        </w:rPr>
        <w:t>Volet 4 :</w:t>
      </w:r>
    </w:p>
    <w:p w:rsidR="0055535A" w:rsidRDefault="0055535A" w:rsidP="0055535A">
      <w:pPr>
        <w:rPr>
          <w:rFonts w:cs="Arial"/>
          <w:sz w:val="16"/>
          <w:szCs w:val="16"/>
        </w:rPr>
      </w:pPr>
    </w:p>
    <w:tbl>
      <w:tblPr>
        <w:tblW w:w="9200" w:type="dxa"/>
        <w:jc w:val="center"/>
        <w:tblCellMar>
          <w:left w:w="70" w:type="dxa"/>
          <w:right w:w="70" w:type="dxa"/>
        </w:tblCellMar>
        <w:tblLook w:val="04A0" w:firstRow="1" w:lastRow="0" w:firstColumn="1" w:lastColumn="0" w:noHBand="0" w:noVBand="1"/>
      </w:tblPr>
      <w:tblGrid>
        <w:gridCol w:w="1220"/>
        <w:gridCol w:w="1580"/>
        <w:gridCol w:w="1660"/>
        <w:gridCol w:w="1580"/>
        <w:gridCol w:w="1580"/>
        <w:gridCol w:w="1580"/>
      </w:tblGrid>
      <w:tr w:rsidR="0055535A" w:rsidTr="0055535A">
        <w:trPr>
          <w:cantSplit/>
          <w:trHeight w:val="300"/>
          <w:jc w:val="center"/>
        </w:trPr>
        <w:tc>
          <w:tcPr>
            <w:tcW w:w="1220" w:type="dxa"/>
            <w:vMerge w:val="restart"/>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rPr>
                <w:rFonts w:cs="Arial"/>
                <w:b/>
                <w:bCs/>
                <w:color w:val="000000"/>
                <w:kern w:val="0"/>
                <w:sz w:val="20"/>
                <w:szCs w:val="20"/>
                <w:lang w:val="fr-BE" w:eastAsia="fr-BE"/>
              </w:rPr>
            </w:pPr>
            <w:r>
              <w:rPr>
                <w:rFonts w:cs="Arial"/>
                <w:b/>
                <w:bCs/>
                <w:color w:val="000000"/>
                <w:kern w:val="0"/>
                <w:sz w:val="20"/>
                <w:szCs w:val="20"/>
                <w:lang w:val="fr-BE" w:eastAsia="fr-BE"/>
              </w:rPr>
              <w:t> </w:t>
            </w:r>
          </w:p>
        </w:tc>
        <w:tc>
          <w:tcPr>
            <w:tcW w:w="1580" w:type="dxa"/>
            <w:vMerge w:val="restart"/>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Budget</w:t>
            </w:r>
          </w:p>
        </w:tc>
        <w:tc>
          <w:tcPr>
            <w:tcW w:w="3240" w:type="dxa"/>
            <w:gridSpan w:val="2"/>
            <w:tcBorders>
              <w:top w:val="single" w:sz="8" w:space="0" w:color="auto"/>
              <w:left w:val="nil"/>
              <w:bottom w:val="single" w:sz="8" w:space="0" w:color="auto"/>
              <w:right w:val="single" w:sz="8" w:space="0" w:color="000000"/>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Dépenses</w:t>
            </w:r>
          </w:p>
        </w:tc>
        <w:tc>
          <w:tcPr>
            <w:tcW w:w="1580" w:type="dxa"/>
            <w:vMerge w:val="restart"/>
            <w:tcBorders>
              <w:top w:val="single" w:sz="8" w:space="0" w:color="auto"/>
              <w:left w:val="nil"/>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Solde</w:t>
            </w:r>
          </w:p>
        </w:tc>
        <w:tc>
          <w:tcPr>
            <w:tcW w:w="1580" w:type="dxa"/>
            <w:vMerge w:val="restart"/>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Taux de déboursement à la fin de l’année n</w:t>
            </w:r>
          </w:p>
        </w:tc>
      </w:tr>
      <w:tr w:rsidR="0055535A" w:rsidTr="0055535A">
        <w:trPr>
          <w:cantSplit/>
          <w:trHeight w:val="804"/>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Années précédentes</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Année couverte par le rapport (n)</w:t>
            </w:r>
          </w:p>
        </w:tc>
        <w:tc>
          <w:tcPr>
            <w:tcW w:w="0" w:type="auto"/>
            <w:vMerge/>
            <w:tcBorders>
              <w:top w:val="single" w:sz="8" w:space="0" w:color="auto"/>
              <w:left w:val="nil"/>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r>
      <w:tr w:rsidR="0055535A" w:rsidTr="0055535A">
        <w:trPr>
          <w:cantSplit/>
          <w:trHeight w:val="300"/>
          <w:jc w:val="center"/>
        </w:trPr>
        <w:tc>
          <w:tcPr>
            <w:tcW w:w="1220" w:type="dxa"/>
            <w:vMerge w:val="restart"/>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PAISS Volet 4 (SNIS)</w:t>
            </w:r>
          </w:p>
        </w:tc>
        <w:tc>
          <w:tcPr>
            <w:tcW w:w="1580" w:type="dxa"/>
            <w:vMerge w:val="restart"/>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8.000.000 €</w:t>
            </w:r>
          </w:p>
        </w:tc>
        <w:tc>
          <w:tcPr>
            <w:tcW w:w="1660" w:type="dxa"/>
            <w:tcBorders>
              <w:top w:val="nil"/>
              <w:left w:val="nil"/>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2012 : 144.994 €</w:t>
            </w:r>
          </w:p>
        </w:tc>
        <w:tc>
          <w:tcPr>
            <w:tcW w:w="1580" w:type="dxa"/>
            <w:vMerge w:val="restart"/>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1.010.546 €</w:t>
            </w:r>
          </w:p>
        </w:tc>
        <w:tc>
          <w:tcPr>
            <w:tcW w:w="1580" w:type="dxa"/>
            <w:vMerge w:val="restart"/>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3.786.094 €</w:t>
            </w:r>
          </w:p>
        </w:tc>
        <w:tc>
          <w:tcPr>
            <w:tcW w:w="1580" w:type="dxa"/>
            <w:vMerge w:val="restart"/>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53%</w:t>
            </w:r>
          </w:p>
        </w:tc>
      </w:tr>
      <w:tr w:rsidR="0055535A" w:rsidTr="0055535A">
        <w:trPr>
          <w:cantSplit/>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1660" w:type="dxa"/>
            <w:tcBorders>
              <w:top w:val="nil"/>
              <w:left w:val="nil"/>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2013 : 569.831 €</w:t>
            </w: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r>
      <w:tr w:rsidR="0055535A" w:rsidTr="0055535A">
        <w:trPr>
          <w:cantSplit/>
          <w:trHeight w:val="288"/>
          <w:jc w:val="center"/>
        </w:trPr>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1660" w:type="dxa"/>
            <w:tcBorders>
              <w:top w:val="nil"/>
              <w:left w:val="nil"/>
              <w:bottom w:val="nil"/>
              <w:right w:val="single" w:sz="8" w:space="0" w:color="auto"/>
            </w:tcBorders>
            <w:noWrap/>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2014 : 847.132 €</w:t>
            </w: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r>
      <w:tr w:rsidR="0055535A" w:rsidTr="0055535A">
        <w:trPr>
          <w:cantSplit/>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1660" w:type="dxa"/>
            <w:tcBorders>
              <w:top w:val="nil"/>
              <w:left w:val="nil"/>
              <w:bottom w:val="single" w:sz="8" w:space="0" w:color="auto"/>
              <w:right w:val="single" w:sz="8" w:space="0" w:color="auto"/>
            </w:tcBorders>
            <w:noWrap/>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2015 :  1.641.403€</w:t>
            </w: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r>
      <w:tr w:rsidR="0055535A" w:rsidTr="0055535A">
        <w:trPr>
          <w:cantSplit/>
          <w:trHeight w:val="300"/>
          <w:jc w:val="center"/>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1</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968.000,00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366.327,00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125.476,00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476.197,00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51%</w:t>
            </w:r>
          </w:p>
        </w:tc>
      </w:tr>
      <w:tr w:rsidR="0055535A" w:rsidTr="0055535A">
        <w:trPr>
          <w:cantSplit/>
          <w:trHeight w:val="300"/>
          <w:jc w:val="center"/>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2</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1.852.000,00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662.454,00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303.869,00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885.677,00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52%</w:t>
            </w:r>
          </w:p>
        </w:tc>
      </w:tr>
      <w:tr w:rsidR="0055535A" w:rsidTr="0055535A">
        <w:trPr>
          <w:cantSplit/>
          <w:trHeight w:val="300"/>
          <w:jc w:val="center"/>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3</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535.000,00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227.502,00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14.966,00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292.532,00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45%</w:t>
            </w:r>
          </w:p>
        </w:tc>
      </w:tr>
      <w:tr w:rsidR="0055535A" w:rsidTr="0055535A">
        <w:trPr>
          <w:cantSplit/>
          <w:trHeight w:val="300"/>
          <w:jc w:val="center"/>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4</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2.518.000,00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964.398,00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142.097,00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1.411.505,00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44%</w:t>
            </w:r>
          </w:p>
        </w:tc>
      </w:tr>
      <w:tr w:rsidR="0055535A" w:rsidTr="0055535A">
        <w:trPr>
          <w:cantSplit/>
          <w:trHeight w:val="300"/>
          <w:jc w:val="center"/>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Réserve</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157.710,00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0,00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0,00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157.710,00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0%</w:t>
            </w:r>
          </w:p>
        </w:tc>
      </w:tr>
      <w:tr w:rsidR="0055535A" w:rsidTr="0055535A">
        <w:trPr>
          <w:cantSplit/>
          <w:trHeight w:val="468"/>
          <w:jc w:val="center"/>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Moyens généraux</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1.969.290,00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982.679,00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424.138,00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562.473,00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71%</w:t>
            </w:r>
          </w:p>
        </w:tc>
      </w:tr>
    </w:tbl>
    <w:p w:rsidR="0055535A" w:rsidRDefault="0055535A" w:rsidP="0055535A">
      <w:pPr>
        <w:rPr>
          <w:rFonts w:cs="Arial"/>
          <w:sz w:val="16"/>
          <w:szCs w:val="16"/>
        </w:rPr>
      </w:pPr>
    </w:p>
    <w:p w:rsidR="0055535A" w:rsidRDefault="0055535A" w:rsidP="0055535A">
      <w:pPr>
        <w:ind w:left="-709"/>
        <w:rPr>
          <w:rFonts w:cs="Arial"/>
          <w:sz w:val="20"/>
          <w:szCs w:val="20"/>
        </w:rPr>
      </w:pPr>
      <w:r>
        <w:rPr>
          <w:rFonts w:cs="Arial"/>
          <w:sz w:val="20"/>
          <w:szCs w:val="20"/>
        </w:rPr>
        <w:t>Activités Suspendues :</w:t>
      </w:r>
    </w:p>
    <w:p w:rsidR="0055535A" w:rsidRDefault="0055535A" w:rsidP="0055535A">
      <w:pPr>
        <w:ind w:left="-709" w:hanging="709"/>
        <w:rPr>
          <w:rFonts w:cs="Arial"/>
          <w:sz w:val="16"/>
          <w:szCs w:val="16"/>
        </w:rPr>
      </w:pPr>
    </w:p>
    <w:tbl>
      <w:tblPr>
        <w:tblW w:w="9214" w:type="dxa"/>
        <w:tblInd w:w="-577" w:type="dxa"/>
        <w:tblCellMar>
          <w:left w:w="70" w:type="dxa"/>
          <w:right w:w="70" w:type="dxa"/>
        </w:tblCellMar>
        <w:tblLook w:val="04A0" w:firstRow="1" w:lastRow="0" w:firstColumn="1" w:lastColumn="0" w:noHBand="0" w:noVBand="1"/>
      </w:tblPr>
      <w:tblGrid>
        <w:gridCol w:w="1757"/>
        <w:gridCol w:w="1540"/>
        <w:gridCol w:w="1540"/>
        <w:gridCol w:w="1540"/>
        <w:gridCol w:w="1540"/>
        <w:gridCol w:w="1297"/>
      </w:tblGrid>
      <w:tr w:rsidR="0055535A" w:rsidTr="0055535A">
        <w:trPr>
          <w:trHeight w:val="495"/>
        </w:trPr>
        <w:tc>
          <w:tcPr>
            <w:tcW w:w="1757" w:type="dxa"/>
            <w:tcBorders>
              <w:top w:val="single" w:sz="8" w:space="0" w:color="auto"/>
              <w:left w:val="single" w:sz="8" w:space="0" w:color="auto"/>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Budget Code</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Activité</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Commentaires</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Budget initial</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Budget Suspendu</w:t>
            </w:r>
          </w:p>
        </w:tc>
        <w:tc>
          <w:tcPr>
            <w:tcW w:w="1297"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 Suspendu</w:t>
            </w:r>
          </w:p>
        </w:tc>
      </w:tr>
      <w:tr w:rsidR="0055535A" w:rsidTr="0055535A">
        <w:trPr>
          <w:trHeight w:val="690"/>
        </w:trPr>
        <w:tc>
          <w:tcPr>
            <w:tcW w:w="1757"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A01-05</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Contractualiser d’expertises perlées</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Pilotage du niveau Central</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220.000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93.127  €</w:t>
            </w:r>
          </w:p>
        </w:tc>
        <w:tc>
          <w:tcPr>
            <w:tcW w:w="1297"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42%</w:t>
            </w:r>
          </w:p>
        </w:tc>
      </w:tr>
      <w:tr w:rsidR="0055535A" w:rsidTr="0055535A">
        <w:trPr>
          <w:trHeight w:val="690"/>
        </w:trPr>
        <w:tc>
          <w:tcPr>
            <w:tcW w:w="1757" w:type="dxa"/>
            <w:tcBorders>
              <w:top w:val="nil"/>
              <w:left w:val="single" w:sz="8" w:space="0" w:color="auto"/>
              <w:bottom w:val="single" w:sz="8" w:space="0" w:color="auto"/>
              <w:right w:val="single" w:sz="8" w:space="0" w:color="auto"/>
            </w:tcBorders>
            <w:noWrap/>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A02-04</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Réhabiliter l’infrastructure et la logistique du SNIS</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 xml:space="preserve">Bénéficiaire exclusif = Niveau central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145.000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19.280  €</w:t>
            </w:r>
          </w:p>
        </w:tc>
        <w:tc>
          <w:tcPr>
            <w:tcW w:w="1297"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13%</w:t>
            </w:r>
          </w:p>
        </w:tc>
      </w:tr>
      <w:tr w:rsidR="0055535A" w:rsidTr="0055535A">
        <w:trPr>
          <w:trHeight w:val="1140"/>
        </w:trPr>
        <w:tc>
          <w:tcPr>
            <w:tcW w:w="1757" w:type="dxa"/>
            <w:tcBorders>
              <w:top w:val="nil"/>
              <w:left w:val="single" w:sz="8" w:space="0" w:color="auto"/>
              <w:bottom w:val="single" w:sz="8" w:space="0" w:color="auto"/>
              <w:right w:val="single" w:sz="8" w:space="0" w:color="auto"/>
            </w:tcBorders>
            <w:noWrap/>
            <w:vAlign w:val="center"/>
            <w:hideMark/>
          </w:tcPr>
          <w:p w:rsidR="0055535A" w:rsidRDefault="0055535A">
            <w:pPr>
              <w:widowControl/>
              <w:suppressAutoHyphens w:val="0"/>
              <w:rPr>
                <w:rFonts w:cs="Arial"/>
                <w:kern w:val="0"/>
                <w:sz w:val="18"/>
                <w:szCs w:val="18"/>
                <w:lang w:val="fr-BE" w:eastAsia="fr-BE"/>
              </w:rPr>
            </w:pPr>
            <w:r>
              <w:rPr>
                <w:rFonts w:cs="Arial"/>
                <w:kern w:val="0"/>
                <w:sz w:val="18"/>
                <w:szCs w:val="18"/>
                <w:lang w:val="fr-BE" w:eastAsia="fr-BE"/>
              </w:rPr>
              <w:t>A03-03</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kern w:val="0"/>
                <w:sz w:val="16"/>
                <w:szCs w:val="16"/>
                <w:lang w:val="fr-BE" w:eastAsia="fr-BE"/>
              </w:rPr>
            </w:pPr>
            <w:r>
              <w:rPr>
                <w:rFonts w:cs="Arial"/>
                <w:kern w:val="0"/>
                <w:sz w:val="16"/>
                <w:szCs w:val="16"/>
                <w:lang w:val="fr-BE" w:eastAsia="fr-BE"/>
              </w:rPr>
              <w:t>Intégrer les compétences SNIS dans le système de supervisions intégrées</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kern w:val="0"/>
                <w:sz w:val="16"/>
                <w:szCs w:val="16"/>
                <w:lang w:val="fr-BE" w:eastAsia="fr-BE"/>
              </w:rPr>
            </w:pPr>
            <w:r>
              <w:rPr>
                <w:rFonts w:cs="Arial"/>
                <w:kern w:val="0"/>
                <w:sz w:val="16"/>
                <w:szCs w:val="16"/>
                <w:lang w:val="fr-BE" w:eastAsia="fr-BE"/>
              </w:rPr>
              <w:t>Visibilité du MSPLS / Planifié</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kern w:val="0"/>
                <w:sz w:val="18"/>
                <w:szCs w:val="18"/>
                <w:lang w:val="fr-BE" w:eastAsia="fr-BE"/>
              </w:rPr>
            </w:pPr>
            <w:r>
              <w:rPr>
                <w:rFonts w:cs="Arial"/>
                <w:kern w:val="0"/>
                <w:sz w:val="18"/>
                <w:szCs w:val="18"/>
                <w:lang w:val="fr-BE" w:eastAsia="fr-BE"/>
              </w:rPr>
              <w:t>40.000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kern w:val="0"/>
                <w:sz w:val="18"/>
                <w:szCs w:val="18"/>
                <w:lang w:val="fr-BE" w:eastAsia="fr-BE"/>
              </w:rPr>
            </w:pPr>
            <w:r>
              <w:rPr>
                <w:rFonts w:cs="Arial"/>
                <w:kern w:val="0"/>
                <w:sz w:val="18"/>
                <w:szCs w:val="18"/>
                <w:lang w:val="fr-BE" w:eastAsia="fr-BE"/>
              </w:rPr>
              <w:t>-26.014  €</w:t>
            </w:r>
          </w:p>
        </w:tc>
        <w:tc>
          <w:tcPr>
            <w:tcW w:w="1297"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kern w:val="0"/>
                <w:sz w:val="18"/>
                <w:szCs w:val="18"/>
                <w:lang w:val="fr-BE" w:eastAsia="fr-BE"/>
              </w:rPr>
            </w:pPr>
            <w:r>
              <w:rPr>
                <w:rFonts w:cs="Arial"/>
                <w:kern w:val="0"/>
                <w:sz w:val="18"/>
                <w:szCs w:val="18"/>
                <w:lang w:val="fr-BE" w:eastAsia="fr-BE"/>
              </w:rPr>
              <w:t>-65%</w:t>
            </w:r>
          </w:p>
        </w:tc>
      </w:tr>
      <w:tr w:rsidR="0055535A" w:rsidTr="0055535A">
        <w:trPr>
          <w:trHeight w:val="690"/>
        </w:trPr>
        <w:tc>
          <w:tcPr>
            <w:tcW w:w="1757" w:type="dxa"/>
            <w:tcBorders>
              <w:top w:val="nil"/>
              <w:left w:val="single" w:sz="8" w:space="0" w:color="auto"/>
              <w:bottom w:val="single" w:sz="8" w:space="0" w:color="auto"/>
              <w:right w:val="single" w:sz="8" w:space="0" w:color="auto"/>
            </w:tcBorders>
            <w:noWrap/>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A03-04</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Appliquer au SNIS le processus de FBP</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Visibilité du MSPLS / PBF Central</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180.000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180.000  €</w:t>
            </w:r>
          </w:p>
        </w:tc>
        <w:tc>
          <w:tcPr>
            <w:tcW w:w="1297"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100%</w:t>
            </w:r>
          </w:p>
        </w:tc>
      </w:tr>
      <w:tr w:rsidR="0055535A" w:rsidTr="0055535A">
        <w:trPr>
          <w:trHeight w:val="315"/>
        </w:trPr>
        <w:tc>
          <w:tcPr>
            <w:tcW w:w="1757"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Totaux</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585.000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266.393  €</w:t>
            </w:r>
          </w:p>
        </w:tc>
        <w:tc>
          <w:tcPr>
            <w:tcW w:w="1297" w:type="dxa"/>
            <w:tcBorders>
              <w:top w:val="nil"/>
              <w:left w:val="nil"/>
              <w:bottom w:val="single" w:sz="8" w:space="0" w:color="auto"/>
              <w:right w:val="single" w:sz="8" w:space="0" w:color="auto"/>
            </w:tcBorders>
            <w:vAlign w:val="center"/>
            <w:hideMark/>
          </w:tcPr>
          <w:p w:rsidR="0055535A" w:rsidRDefault="0055535A">
            <w:pPr>
              <w:widowControl/>
              <w:suppressAutoHyphens w:val="0"/>
              <w:snapToGrid/>
              <w:rPr>
                <w:rFonts w:ascii="Times New Roman" w:hAnsi="Times New Roman"/>
                <w:kern w:val="0"/>
                <w:sz w:val="20"/>
                <w:szCs w:val="20"/>
                <w:lang w:val="en-US" w:eastAsia="en-US"/>
              </w:rPr>
            </w:pPr>
          </w:p>
        </w:tc>
      </w:tr>
    </w:tbl>
    <w:p w:rsidR="0055535A" w:rsidRDefault="0055535A" w:rsidP="0055535A">
      <w:pPr>
        <w:ind w:left="-709" w:hanging="709"/>
        <w:rPr>
          <w:rFonts w:cs="Arial"/>
          <w:sz w:val="16"/>
          <w:szCs w:val="16"/>
        </w:rPr>
      </w:pPr>
    </w:p>
    <w:p w:rsidR="0055535A" w:rsidRDefault="0055535A" w:rsidP="0055535A">
      <w:pPr>
        <w:ind w:left="-709" w:hanging="709"/>
        <w:rPr>
          <w:rFonts w:cs="Arial"/>
          <w:sz w:val="16"/>
          <w:szCs w:val="16"/>
        </w:rPr>
      </w:pPr>
    </w:p>
    <w:p w:rsidR="0055535A" w:rsidRDefault="0055535A" w:rsidP="0055535A">
      <w:pPr>
        <w:ind w:left="-709" w:hanging="709"/>
        <w:rPr>
          <w:rFonts w:cs="Arial"/>
          <w:sz w:val="16"/>
          <w:szCs w:val="16"/>
        </w:rPr>
      </w:pPr>
    </w:p>
    <w:p w:rsidR="0055535A" w:rsidRDefault="0055535A" w:rsidP="0055535A">
      <w:pPr>
        <w:widowControl/>
        <w:suppressAutoHyphens w:val="0"/>
        <w:rPr>
          <w:rFonts w:cs="Arial"/>
          <w:sz w:val="16"/>
          <w:szCs w:val="16"/>
        </w:rPr>
      </w:pPr>
      <w:r>
        <w:rPr>
          <w:rFonts w:cs="Arial"/>
          <w:snapToGrid w:val="0"/>
          <w:sz w:val="16"/>
          <w:szCs w:val="16"/>
        </w:rPr>
        <w:br w:type="page"/>
      </w:r>
    </w:p>
    <w:p w:rsidR="0055535A" w:rsidRDefault="0055535A" w:rsidP="0055535A">
      <w:pPr>
        <w:ind w:left="-709"/>
        <w:rPr>
          <w:rFonts w:cs="Arial"/>
          <w:b/>
          <w:sz w:val="20"/>
          <w:szCs w:val="20"/>
          <w:u w:val="single"/>
        </w:rPr>
      </w:pPr>
      <w:r>
        <w:rPr>
          <w:rFonts w:cs="Arial"/>
          <w:b/>
          <w:sz w:val="20"/>
          <w:szCs w:val="20"/>
          <w:u w:val="single"/>
        </w:rPr>
        <w:t>Volet 5 :</w:t>
      </w:r>
    </w:p>
    <w:p w:rsidR="0055535A" w:rsidRDefault="0055535A" w:rsidP="0055535A">
      <w:pPr>
        <w:ind w:left="-709" w:hanging="709"/>
        <w:rPr>
          <w:rFonts w:cs="Arial"/>
          <w:sz w:val="16"/>
          <w:szCs w:val="16"/>
        </w:rPr>
      </w:pPr>
    </w:p>
    <w:tbl>
      <w:tblPr>
        <w:tblpPr w:leftFromText="141" w:rightFromText="141" w:vertAnchor="text" w:horzAnchor="margin" w:tblpXSpec="center" w:tblpY="30"/>
        <w:tblW w:w="9200" w:type="dxa"/>
        <w:tblCellMar>
          <w:left w:w="70" w:type="dxa"/>
          <w:right w:w="70" w:type="dxa"/>
        </w:tblCellMar>
        <w:tblLook w:val="04A0" w:firstRow="1" w:lastRow="0" w:firstColumn="1" w:lastColumn="0" w:noHBand="0" w:noVBand="1"/>
      </w:tblPr>
      <w:tblGrid>
        <w:gridCol w:w="1220"/>
        <w:gridCol w:w="1580"/>
        <w:gridCol w:w="1660"/>
        <w:gridCol w:w="1580"/>
        <w:gridCol w:w="1580"/>
        <w:gridCol w:w="1580"/>
      </w:tblGrid>
      <w:tr w:rsidR="0055535A" w:rsidTr="0055535A">
        <w:trPr>
          <w:trHeight w:val="300"/>
        </w:trPr>
        <w:tc>
          <w:tcPr>
            <w:tcW w:w="1220" w:type="dxa"/>
            <w:vMerge w:val="restart"/>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rPr>
                <w:rFonts w:cs="Arial"/>
                <w:b/>
                <w:bCs/>
                <w:color w:val="000000"/>
                <w:kern w:val="0"/>
                <w:sz w:val="20"/>
                <w:szCs w:val="20"/>
                <w:lang w:val="fr-BE" w:eastAsia="fr-BE"/>
              </w:rPr>
            </w:pPr>
            <w:r>
              <w:rPr>
                <w:rFonts w:cs="Arial"/>
                <w:b/>
                <w:bCs/>
                <w:color w:val="000000"/>
                <w:kern w:val="0"/>
                <w:sz w:val="20"/>
                <w:szCs w:val="20"/>
                <w:lang w:val="fr-BE" w:eastAsia="fr-BE"/>
              </w:rPr>
              <w:t> </w:t>
            </w:r>
          </w:p>
        </w:tc>
        <w:tc>
          <w:tcPr>
            <w:tcW w:w="1580" w:type="dxa"/>
            <w:vMerge w:val="restart"/>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Budget</w:t>
            </w:r>
          </w:p>
        </w:tc>
        <w:tc>
          <w:tcPr>
            <w:tcW w:w="3240" w:type="dxa"/>
            <w:gridSpan w:val="2"/>
            <w:tcBorders>
              <w:top w:val="single" w:sz="8" w:space="0" w:color="auto"/>
              <w:left w:val="nil"/>
              <w:bottom w:val="single" w:sz="8" w:space="0" w:color="auto"/>
              <w:right w:val="single" w:sz="8" w:space="0" w:color="000000"/>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Dépenses</w:t>
            </w:r>
          </w:p>
        </w:tc>
        <w:tc>
          <w:tcPr>
            <w:tcW w:w="1580" w:type="dxa"/>
            <w:vMerge w:val="restart"/>
            <w:tcBorders>
              <w:top w:val="single" w:sz="8" w:space="0" w:color="auto"/>
              <w:left w:val="nil"/>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Solde</w:t>
            </w:r>
          </w:p>
        </w:tc>
        <w:tc>
          <w:tcPr>
            <w:tcW w:w="1580" w:type="dxa"/>
            <w:vMerge w:val="restart"/>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Taux de déboursement à la fin de l’année n</w:t>
            </w:r>
          </w:p>
        </w:tc>
      </w:tr>
      <w:tr w:rsidR="0055535A" w:rsidTr="0055535A">
        <w:trPr>
          <w:trHeight w:val="80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Années précédentes</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Année couverte par le rapport (n)</w:t>
            </w:r>
          </w:p>
        </w:tc>
        <w:tc>
          <w:tcPr>
            <w:tcW w:w="0" w:type="auto"/>
            <w:vMerge/>
            <w:tcBorders>
              <w:top w:val="single" w:sz="8" w:space="0" w:color="auto"/>
              <w:left w:val="nil"/>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r>
      <w:tr w:rsidR="0055535A" w:rsidTr="0055535A">
        <w:trPr>
          <w:trHeight w:val="288"/>
        </w:trPr>
        <w:tc>
          <w:tcPr>
            <w:tcW w:w="1220" w:type="dxa"/>
            <w:vMerge w:val="restart"/>
            <w:tcBorders>
              <w:top w:val="nil"/>
              <w:left w:val="single" w:sz="8" w:space="0" w:color="auto"/>
              <w:bottom w:val="nil"/>
              <w:right w:val="single" w:sz="8" w:space="0" w:color="auto"/>
            </w:tcBorders>
            <w:vAlign w:val="center"/>
            <w:hideMark/>
          </w:tcPr>
          <w:p w:rsidR="0055535A" w:rsidRDefault="0055535A">
            <w:pPr>
              <w:widowControl/>
              <w:suppressAutoHyphens w:val="0"/>
              <w:rPr>
                <w:rFonts w:cs="Arial"/>
                <w:b/>
                <w:bCs/>
                <w:color w:val="000000"/>
                <w:kern w:val="0"/>
                <w:sz w:val="18"/>
                <w:szCs w:val="18"/>
                <w:lang w:val="fr-BE" w:eastAsia="fr-BE"/>
              </w:rPr>
            </w:pPr>
            <w:r>
              <w:rPr>
                <w:rFonts w:cs="Arial"/>
                <w:b/>
                <w:bCs/>
                <w:color w:val="000000"/>
                <w:kern w:val="0"/>
                <w:sz w:val="18"/>
                <w:szCs w:val="18"/>
                <w:lang w:val="fr-BE" w:eastAsia="fr-BE"/>
              </w:rPr>
              <w:t>PAISS Volet 5 (INFRA)</w:t>
            </w:r>
          </w:p>
        </w:tc>
        <w:tc>
          <w:tcPr>
            <w:tcW w:w="1580" w:type="dxa"/>
            <w:vMerge w:val="restart"/>
            <w:tcBorders>
              <w:top w:val="nil"/>
              <w:left w:val="single" w:sz="8" w:space="0" w:color="auto"/>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9.000.000 €</w:t>
            </w:r>
          </w:p>
        </w:tc>
        <w:tc>
          <w:tcPr>
            <w:tcW w:w="1660" w:type="dxa"/>
            <w:tcBorders>
              <w:top w:val="nil"/>
              <w:left w:val="nil"/>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xml:space="preserve">   2014 : 21 036 € </w:t>
            </w:r>
          </w:p>
        </w:tc>
        <w:tc>
          <w:tcPr>
            <w:tcW w:w="1580" w:type="dxa"/>
            <w:vMerge w:val="restart"/>
            <w:tcBorders>
              <w:top w:val="nil"/>
              <w:left w:val="single" w:sz="8" w:space="0" w:color="auto"/>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507.557 €</w:t>
            </w:r>
          </w:p>
        </w:tc>
        <w:tc>
          <w:tcPr>
            <w:tcW w:w="1580" w:type="dxa"/>
            <w:vMerge w:val="restart"/>
            <w:tcBorders>
              <w:top w:val="nil"/>
              <w:left w:val="single" w:sz="8" w:space="0" w:color="auto"/>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8.057.619 €</w:t>
            </w:r>
          </w:p>
        </w:tc>
        <w:tc>
          <w:tcPr>
            <w:tcW w:w="1580" w:type="dxa"/>
            <w:vMerge w:val="restart"/>
            <w:tcBorders>
              <w:top w:val="nil"/>
              <w:left w:val="single" w:sz="8" w:space="0" w:color="auto"/>
              <w:bottom w:val="nil"/>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10%</w:t>
            </w:r>
          </w:p>
        </w:tc>
      </w:tr>
      <w:tr w:rsidR="0055535A" w:rsidTr="0055535A">
        <w:trPr>
          <w:trHeight w:val="288"/>
        </w:trPr>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1660" w:type="dxa"/>
            <w:tcBorders>
              <w:top w:val="nil"/>
              <w:left w:val="nil"/>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xml:space="preserve">2015 : 413.788 € </w:t>
            </w: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r>
      <w:tr w:rsidR="0055535A" w:rsidTr="0055535A">
        <w:trPr>
          <w:trHeight w:val="300"/>
        </w:trPr>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1660" w:type="dxa"/>
            <w:tcBorders>
              <w:top w:val="nil"/>
              <w:left w:val="nil"/>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w:t>
            </w: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r>
      <w:tr w:rsidR="0055535A" w:rsidTr="0055535A">
        <w:trPr>
          <w:trHeight w:val="300"/>
        </w:trPr>
        <w:tc>
          <w:tcPr>
            <w:tcW w:w="1220" w:type="dxa"/>
            <w:tcBorders>
              <w:top w:val="single" w:sz="8" w:space="0" w:color="auto"/>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1</w:t>
            </w:r>
          </w:p>
        </w:tc>
        <w:tc>
          <w:tcPr>
            <w:tcW w:w="158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177.000,00  €</w:t>
            </w:r>
          </w:p>
        </w:tc>
        <w:tc>
          <w:tcPr>
            <w:tcW w:w="166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83.057,00  €</w:t>
            </w:r>
          </w:p>
        </w:tc>
        <w:tc>
          <w:tcPr>
            <w:tcW w:w="158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2.339,00  €</w:t>
            </w:r>
          </w:p>
        </w:tc>
        <w:tc>
          <w:tcPr>
            <w:tcW w:w="158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91.604,00  €</w:t>
            </w:r>
          </w:p>
        </w:tc>
        <w:tc>
          <w:tcPr>
            <w:tcW w:w="158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48%</w:t>
            </w:r>
          </w:p>
        </w:tc>
      </w:tr>
      <w:tr w:rsidR="0055535A" w:rsidTr="0055535A">
        <w:trPr>
          <w:trHeight w:val="300"/>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2</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647.520,00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64.114,00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62.100,00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521.306,00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19%</w:t>
            </w:r>
          </w:p>
        </w:tc>
      </w:tr>
      <w:tr w:rsidR="0055535A" w:rsidTr="0055535A">
        <w:trPr>
          <w:trHeight w:val="300"/>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3</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1.485.000,00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14.392,00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30.275,00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1.440.333,00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3%</w:t>
            </w:r>
          </w:p>
        </w:tc>
      </w:tr>
      <w:tr w:rsidR="0055535A" w:rsidTr="0055535A">
        <w:trPr>
          <w:trHeight w:val="300"/>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4</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2.862.500,00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4.885,00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96.084,00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2.761.531,00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4%</w:t>
            </w:r>
          </w:p>
        </w:tc>
      </w:tr>
      <w:tr w:rsidR="0055535A" w:rsidTr="0055535A">
        <w:trPr>
          <w:trHeight w:val="300"/>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5</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1.837.500,00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574,00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0,00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1.836.926,00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0%</w:t>
            </w:r>
          </w:p>
        </w:tc>
      </w:tr>
      <w:tr w:rsidR="0055535A" w:rsidTr="0055535A">
        <w:trPr>
          <w:trHeight w:val="300"/>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Réserve</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11.680,00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0,00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0,00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11.680,00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0%</w:t>
            </w:r>
          </w:p>
        </w:tc>
      </w:tr>
      <w:tr w:rsidR="0055535A" w:rsidTr="0055535A">
        <w:trPr>
          <w:trHeight w:val="468"/>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Moyens généraux</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1.978.800,00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267.802,00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316.759,00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1.394.239,00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30%</w:t>
            </w:r>
          </w:p>
        </w:tc>
      </w:tr>
    </w:tbl>
    <w:p w:rsidR="0055535A" w:rsidRDefault="0055535A" w:rsidP="0055535A">
      <w:pPr>
        <w:ind w:left="-709" w:hanging="709"/>
        <w:rPr>
          <w:rFonts w:cs="Arial"/>
          <w:sz w:val="16"/>
          <w:szCs w:val="16"/>
        </w:rPr>
      </w:pPr>
    </w:p>
    <w:p w:rsidR="0055535A" w:rsidRDefault="0055535A" w:rsidP="0055535A">
      <w:pPr>
        <w:ind w:left="-709"/>
        <w:rPr>
          <w:rFonts w:cs="Arial"/>
          <w:sz w:val="20"/>
          <w:szCs w:val="20"/>
        </w:rPr>
      </w:pPr>
      <w:r>
        <w:rPr>
          <w:rFonts w:cs="Arial"/>
          <w:sz w:val="20"/>
          <w:szCs w:val="20"/>
        </w:rPr>
        <w:t>Activités Suspendues :</w:t>
      </w:r>
    </w:p>
    <w:p w:rsidR="0055535A" w:rsidRDefault="0055535A" w:rsidP="0055535A">
      <w:pPr>
        <w:ind w:left="-709" w:hanging="709"/>
        <w:rPr>
          <w:rFonts w:cs="Arial"/>
          <w:sz w:val="16"/>
          <w:szCs w:val="16"/>
        </w:rPr>
      </w:pPr>
    </w:p>
    <w:tbl>
      <w:tblPr>
        <w:tblW w:w="9214" w:type="dxa"/>
        <w:tblInd w:w="-577" w:type="dxa"/>
        <w:tblCellMar>
          <w:left w:w="70" w:type="dxa"/>
          <w:right w:w="70" w:type="dxa"/>
        </w:tblCellMar>
        <w:tblLook w:val="04A0" w:firstRow="1" w:lastRow="0" w:firstColumn="1" w:lastColumn="0" w:noHBand="0" w:noVBand="1"/>
      </w:tblPr>
      <w:tblGrid>
        <w:gridCol w:w="1757"/>
        <w:gridCol w:w="1540"/>
        <w:gridCol w:w="1600"/>
        <w:gridCol w:w="1540"/>
        <w:gridCol w:w="1540"/>
        <w:gridCol w:w="1237"/>
      </w:tblGrid>
      <w:tr w:rsidR="0055535A" w:rsidTr="0055535A">
        <w:trPr>
          <w:trHeight w:val="495"/>
        </w:trPr>
        <w:tc>
          <w:tcPr>
            <w:tcW w:w="1757" w:type="dxa"/>
            <w:tcBorders>
              <w:top w:val="single" w:sz="8" w:space="0" w:color="auto"/>
              <w:left w:val="single" w:sz="8" w:space="0" w:color="auto"/>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Budget Code</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Activité</w:t>
            </w:r>
          </w:p>
        </w:tc>
        <w:tc>
          <w:tcPr>
            <w:tcW w:w="160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Commentaires</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Budget initial</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Budget Suspendu</w:t>
            </w:r>
          </w:p>
        </w:tc>
        <w:tc>
          <w:tcPr>
            <w:tcW w:w="1237"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 Suspendu</w:t>
            </w:r>
          </w:p>
        </w:tc>
      </w:tr>
      <w:tr w:rsidR="0055535A" w:rsidTr="0055535A">
        <w:trPr>
          <w:trHeight w:val="1140"/>
        </w:trPr>
        <w:tc>
          <w:tcPr>
            <w:tcW w:w="1757"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A01-04</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Décrire les normes d'acquisitions et les spécifications techniques du matériel</w:t>
            </w:r>
          </w:p>
        </w:tc>
        <w:tc>
          <w:tcPr>
            <w:tcW w:w="1600" w:type="dxa"/>
            <w:tcBorders>
              <w:top w:val="nil"/>
              <w:left w:val="nil"/>
              <w:bottom w:val="single" w:sz="8" w:space="0" w:color="auto"/>
              <w:right w:val="single" w:sz="8" w:space="0" w:color="auto"/>
            </w:tcBorders>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 xml:space="preserve">Caractère purement institutionnel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50.000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32.735  €</w:t>
            </w:r>
          </w:p>
        </w:tc>
        <w:tc>
          <w:tcPr>
            <w:tcW w:w="1237"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i/>
                <w:iCs/>
                <w:color w:val="000000"/>
                <w:kern w:val="0"/>
                <w:sz w:val="18"/>
                <w:szCs w:val="18"/>
                <w:lang w:val="fr-BE" w:eastAsia="fr-BE"/>
              </w:rPr>
            </w:pPr>
            <w:r>
              <w:rPr>
                <w:rFonts w:cs="Arial"/>
                <w:i/>
                <w:iCs/>
                <w:color w:val="000000"/>
                <w:kern w:val="0"/>
                <w:sz w:val="18"/>
                <w:szCs w:val="18"/>
                <w:lang w:val="fr-BE" w:eastAsia="fr-BE"/>
              </w:rPr>
              <w:t>65%</w:t>
            </w:r>
          </w:p>
        </w:tc>
      </w:tr>
      <w:tr w:rsidR="0055535A" w:rsidTr="0055535A">
        <w:trPr>
          <w:trHeight w:val="1140"/>
        </w:trPr>
        <w:tc>
          <w:tcPr>
            <w:tcW w:w="1757"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A01-05</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Participer au développement d'une politique de gestion du patrimoine</w:t>
            </w:r>
          </w:p>
        </w:tc>
        <w:tc>
          <w:tcPr>
            <w:tcW w:w="1600" w:type="dxa"/>
            <w:tcBorders>
              <w:top w:val="nil"/>
              <w:left w:val="nil"/>
              <w:bottom w:val="single" w:sz="8" w:space="0" w:color="auto"/>
              <w:right w:val="single" w:sz="8" w:space="0" w:color="auto"/>
            </w:tcBorders>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Activité purement institutionnelle</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50.000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49.862  €</w:t>
            </w:r>
          </w:p>
        </w:tc>
        <w:tc>
          <w:tcPr>
            <w:tcW w:w="1237"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i/>
                <w:iCs/>
                <w:color w:val="000000"/>
                <w:kern w:val="0"/>
                <w:sz w:val="18"/>
                <w:szCs w:val="18"/>
                <w:lang w:val="fr-BE" w:eastAsia="fr-BE"/>
              </w:rPr>
            </w:pPr>
            <w:r>
              <w:rPr>
                <w:rFonts w:cs="Arial"/>
                <w:i/>
                <w:iCs/>
                <w:color w:val="000000"/>
                <w:kern w:val="0"/>
                <w:sz w:val="18"/>
                <w:szCs w:val="18"/>
                <w:lang w:val="fr-BE" w:eastAsia="fr-BE"/>
              </w:rPr>
              <w:t>100%</w:t>
            </w:r>
          </w:p>
        </w:tc>
      </w:tr>
      <w:tr w:rsidR="0055535A" w:rsidTr="0055535A">
        <w:trPr>
          <w:trHeight w:val="465"/>
        </w:trPr>
        <w:tc>
          <w:tcPr>
            <w:tcW w:w="1757" w:type="dxa"/>
            <w:tcBorders>
              <w:top w:val="nil"/>
              <w:left w:val="single" w:sz="8" w:space="0" w:color="auto"/>
              <w:bottom w:val="single" w:sz="8" w:space="0" w:color="auto"/>
              <w:right w:val="single" w:sz="8" w:space="0" w:color="auto"/>
            </w:tcBorders>
            <w:vAlign w:val="bottom"/>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A05-03</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Réaliser les travaux de construction</w:t>
            </w:r>
          </w:p>
        </w:tc>
        <w:tc>
          <w:tcPr>
            <w:tcW w:w="1600" w:type="dxa"/>
            <w:tcBorders>
              <w:top w:val="nil"/>
              <w:left w:val="nil"/>
              <w:bottom w:val="single" w:sz="8" w:space="0" w:color="auto"/>
              <w:right w:val="single" w:sz="8" w:space="0" w:color="auto"/>
            </w:tcBorders>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Construction du MSPLS</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1.750.000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1.749.438  €</w:t>
            </w:r>
          </w:p>
        </w:tc>
        <w:tc>
          <w:tcPr>
            <w:tcW w:w="1237"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i/>
                <w:iCs/>
                <w:color w:val="000000"/>
                <w:kern w:val="0"/>
                <w:sz w:val="18"/>
                <w:szCs w:val="18"/>
                <w:lang w:val="fr-BE" w:eastAsia="fr-BE"/>
              </w:rPr>
            </w:pPr>
            <w:r>
              <w:rPr>
                <w:rFonts w:cs="Arial"/>
                <w:i/>
                <w:iCs/>
                <w:color w:val="000000"/>
                <w:kern w:val="0"/>
                <w:sz w:val="18"/>
                <w:szCs w:val="18"/>
                <w:lang w:val="fr-BE" w:eastAsia="fr-BE"/>
              </w:rPr>
              <w:t>100%</w:t>
            </w:r>
          </w:p>
        </w:tc>
      </w:tr>
      <w:tr w:rsidR="0055535A" w:rsidTr="0055535A">
        <w:trPr>
          <w:trHeight w:val="690"/>
        </w:trPr>
        <w:tc>
          <w:tcPr>
            <w:tcW w:w="1757" w:type="dxa"/>
            <w:tcBorders>
              <w:top w:val="nil"/>
              <w:left w:val="single" w:sz="8" w:space="0" w:color="auto"/>
              <w:bottom w:val="single" w:sz="8" w:space="0" w:color="auto"/>
              <w:right w:val="single" w:sz="8" w:space="0" w:color="auto"/>
            </w:tcBorders>
            <w:vAlign w:val="bottom"/>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A05-04</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Suivre et contrôler le chantier de construction</w:t>
            </w:r>
          </w:p>
        </w:tc>
        <w:tc>
          <w:tcPr>
            <w:tcW w:w="1600" w:type="dxa"/>
            <w:tcBorders>
              <w:top w:val="nil"/>
              <w:left w:val="nil"/>
              <w:bottom w:val="single" w:sz="8" w:space="0" w:color="auto"/>
              <w:right w:val="single" w:sz="8" w:space="0" w:color="auto"/>
            </w:tcBorders>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Construction du MSPLS</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87.500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87.106  €</w:t>
            </w:r>
          </w:p>
        </w:tc>
        <w:tc>
          <w:tcPr>
            <w:tcW w:w="1237"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i/>
                <w:iCs/>
                <w:color w:val="000000"/>
                <w:kern w:val="0"/>
                <w:sz w:val="18"/>
                <w:szCs w:val="18"/>
                <w:lang w:val="fr-BE" w:eastAsia="fr-BE"/>
              </w:rPr>
            </w:pPr>
            <w:r>
              <w:rPr>
                <w:rFonts w:cs="Arial"/>
                <w:i/>
                <w:iCs/>
                <w:color w:val="000000"/>
                <w:kern w:val="0"/>
                <w:sz w:val="18"/>
                <w:szCs w:val="18"/>
                <w:lang w:val="fr-BE" w:eastAsia="fr-BE"/>
              </w:rPr>
              <w:t>100%</w:t>
            </w:r>
          </w:p>
        </w:tc>
      </w:tr>
      <w:tr w:rsidR="0055535A" w:rsidTr="0055535A">
        <w:trPr>
          <w:trHeight w:val="315"/>
        </w:trPr>
        <w:tc>
          <w:tcPr>
            <w:tcW w:w="1757"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w:t>
            </w:r>
          </w:p>
        </w:tc>
        <w:tc>
          <w:tcPr>
            <w:tcW w:w="160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Totaux</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1.937.500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1.919.141  €</w:t>
            </w:r>
          </w:p>
        </w:tc>
        <w:tc>
          <w:tcPr>
            <w:tcW w:w="1237" w:type="dxa"/>
            <w:tcBorders>
              <w:top w:val="nil"/>
              <w:left w:val="nil"/>
              <w:bottom w:val="single" w:sz="8" w:space="0" w:color="auto"/>
              <w:right w:val="single" w:sz="8" w:space="0" w:color="auto"/>
            </w:tcBorders>
            <w:vAlign w:val="center"/>
            <w:hideMark/>
          </w:tcPr>
          <w:p w:rsidR="0055535A" w:rsidRDefault="0055535A">
            <w:pPr>
              <w:widowControl/>
              <w:suppressAutoHyphens w:val="0"/>
              <w:snapToGrid/>
              <w:rPr>
                <w:rFonts w:ascii="Times New Roman" w:hAnsi="Times New Roman"/>
                <w:kern w:val="0"/>
                <w:sz w:val="20"/>
                <w:szCs w:val="20"/>
                <w:lang w:val="en-US" w:eastAsia="en-US"/>
              </w:rPr>
            </w:pPr>
          </w:p>
        </w:tc>
      </w:tr>
    </w:tbl>
    <w:p w:rsidR="0055535A" w:rsidRDefault="0055535A" w:rsidP="0055535A">
      <w:pPr>
        <w:ind w:left="-709" w:hanging="709"/>
        <w:rPr>
          <w:rFonts w:cs="Arial"/>
          <w:sz w:val="16"/>
          <w:szCs w:val="16"/>
        </w:rPr>
      </w:pPr>
    </w:p>
    <w:p w:rsidR="0055535A" w:rsidRDefault="0055535A" w:rsidP="0055535A">
      <w:pPr>
        <w:ind w:left="-709" w:hanging="709"/>
        <w:rPr>
          <w:rFonts w:cs="Arial"/>
          <w:sz w:val="16"/>
          <w:szCs w:val="16"/>
        </w:rPr>
      </w:pPr>
    </w:p>
    <w:p w:rsidR="0055535A" w:rsidRDefault="0055535A" w:rsidP="0055535A">
      <w:pPr>
        <w:widowControl/>
        <w:suppressAutoHyphens w:val="0"/>
        <w:rPr>
          <w:rFonts w:cs="Arial"/>
          <w:sz w:val="16"/>
          <w:szCs w:val="16"/>
        </w:rPr>
      </w:pPr>
      <w:r>
        <w:rPr>
          <w:rFonts w:cs="Arial"/>
          <w:snapToGrid w:val="0"/>
          <w:sz w:val="16"/>
          <w:szCs w:val="16"/>
        </w:rPr>
        <w:br w:type="page"/>
      </w:r>
    </w:p>
    <w:p w:rsidR="0055535A" w:rsidRDefault="0055535A" w:rsidP="0055535A">
      <w:pPr>
        <w:ind w:left="-709" w:hanging="709"/>
        <w:rPr>
          <w:rFonts w:cs="Arial"/>
          <w:sz w:val="16"/>
          <w:szCs w:val="16"/>
        </w:rPr>
      </w:pPr>
    </w:p>
    <w:p w:rsidR="0055535A" w:rsidRDefault="0055535A" w:rsidP="0055535A">
      <w:pPr>
        <w:ind w:left="-709"/>
        <w:rPr>
          <w:rFonts w:cs="Arial"/>
          <w:b/>
          <w:sz w:val="20"/>
          <w:szCs w:val="20"/>
          <w:u w:val="single"/>
        </w:rPr>
      </w:pPr>
      <w:r>
        <w:rPr>
          <w:rFonts w:cs="Arial"/>
          <w:b/>
          <w:sz w:val="20"/>
          <w:szCs w:val="20"/>
          <w:u w:val="single"/>
        </w:rPr>
        <w:t>Volet PC :</w:t>
      </w:r>
    </w:p>
    <w:p w:rsidR="0055535A" w:rsidRDefault="0055535A" w:rsidP="0055535A">
      <w:pPr>
        <w:ind w:left="-709" w:hanging="709"/>
        <w:rPr>
          <w:rFonts w:cs="Arial"/>
          <w:sz w:val="16"/>
          <w:szCs w:val="16"/>
        </w:rPr>
      </w:pPr>
    </w:p>
    <w:p w:rsidR="0055535A" w:rsidRDefault="0055535A" w:rsidP="0055535A">
      <w:pPr>
        <w:ind w:left="-709" w:hanging="709"/>
        <w:rPr>
          <w:rFonts w:cs="Arial"/>
          <w:sz w:val="16"/>
          <w:szCs w:val="16"/>
        </w:rPr>
      </w:pPr>
    </w:p>
    <w:tbl>
      <w:tblPr>
        <w:tblpPr w:leftFromText="141" w:rightFromText="141" w:vertAnchor="text" w:horzAnchor="page" w:tblpX="1801" w:tblpY="110"/>
        <w:tblW w:w="9200" w:type="dxa"/>
        <w:tblCellMar>
          <w:left w:w="70" w:type="dxa"/>
          <w:right w:w="70" w:type="dxa"/>
        </w:tblCellMar>
        <w:tblLook w:val="04A0" w:firstRow="1" w:lastRow="0" w:firstColumn="1" w:lastColumn="0" w:noHBand="0" w:noVBand="1"/>
      </w:tblPr>
      <w:tblGrid>
        <w:gridCol w:w="1220"/>
        <w:gridCol w:w="1580"/>
        <w:gridCol w:w="1660"/>
        <w:gridCol w:w="1580"/>
        <w:gridCol w:w="1580"/>
        <w:gridCol w:w="1580"/>
      </w:tblGrid>
      <w:tr w:rsidR="0055535A" w:rsidTr="0055535A">
        <w:trPr>
          <w:trHeight w:val="300"/>
        </w:trPr>
        <w:tc>
          <w:tcPr>
            <w:tcW w:w="1220" w:type="dxa"/>
            <w:vMerge w:val="restart"/>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rPr>
                <w:rFonts w:cs="Arial"/>
                <w:b/>
                <w:bCs/>
                <w:color w:val="000000"/>
                <w:kern w:val="0"/>
                <w:sz w:val="20"/>
                <w:szCs w:val="20"/>
                <w:lang w:val="fr-BE" w:eastAsia="fr-BE"/>
              </w:rPr>
            </w:pPr>
            <w:r>
              <w:rPr>
                <w:rFonts w:cs="Arial"/>
                <w:b/>
                <w:bCs/>
                <w:color w:val="000000"/>
                <w:kern w:val="0"/>
                <w:sz w:val="20"/>
                <w:szCs w:val="20"/>
                <w:lang w:val="fr-BE" w:eastAsia="fr-BE"/>
              </w:rPr>
              <w:t> </w:t>
            </w:r>
          </w:p>
        </w:tc>
        <w:tc>
          <w:tcPr>
            <w:tcW w:w="1580" w:type="dxa"/>
            <w:vMerge w:val="restart"/>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Budget</w:t>
            </w:r>
          </w:p>
        </w:tc>
        <w:tc>
          <w:tcPr>
            <w:tcW w:w="3240" w:type="dxa"/>
            <w:gridSpan w:val="2"/>
            <w:tcBorders>
              <w:top w:val="single" w:sz="8" w:space="0" w:color="auto"/>
              <w:left w:val="nil"/>
              <w:bottom w:val="single" w:sz="8" w:space="0" w:color="auto"/>
              <w:right w:val="single" w:sz="8" w:space="0" w:color="000000"/>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 Dépenses</w:t>
            </w:r>
          </w:p>
        </w:tc>
        <w:tc>
          <w:tcPr>
            <w:tcW w:w="1580" w:type="dxa"/>
            <w:vMerge w:val="restart"/>
            <w:tcBorders>
              <w:top w:val="single" w:sz="8" w:space="0" w:color="auto"/>
              <w:left w:val="nil"/>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Solde</w:t>
            </w:r>
          </w:p>
        </w:tc>
        <w:tc>
          <w:tcPr>
            <w:tcW w:w="1580" w:type="dxa"/>
            <w:vMerge w:val="restart"/>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Taux de déboursement à la fin de l’année n</w:t>
            </w:r>
          </w:p>
        </w:tc>
      </w:tr>
      <w:tr w:rsidR="0055535A" w:rsidTr="0055535A">
        <w:trPr>
          <w:trHeight w:val="80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Années précédentes</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20"/>
                <w:szCs w:val="20"/>
                <w:lang w:val="fr-BE" w:eastAsia="fr-BE"/>
              </w:rPr>
            </w:pPr>
            <w:r>
              <w:rPr>
                <w:rFonts w:cs="Arial"/>
                <w:b/>
                <w:bCs/>
                <w:color w:val="000000"/>
                <w:kern w:val="0"/>
                <w:sz w:val="20"/>
                <w:szCs w:val="20"/>
                <w:lang w:val="fr-BE" w:eastAsia="fr-BE"/>
              </w:rPr>
              <w:t>Année couverte par le rapport (n)</w:t>
            </w:r>
          </w:p>
        </w:tc>
        <w:tc>
          <w:tcPr>
            <w:tcW w:w="0" w:type="auto"/>
            <w:vMerge/>
            <w:tcBorders>
              <w:top w:val="single" w:sz="8" w:space="0" w:color="auto"/>
              <w:left w:val="nil"/>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55535A" w:rsidRDefault="0055535A">
            <w:pPr>
              <w:widowControl/>
              <w:suppressAutoHyphens w:val="0"/>
              <w:snapToGrid/>
              <w:rPr>
                <w:rFonts w:cs="Arial"/>
                <w:b/>
                <w:bCs/>
                <w:color w:val="000000"/>
                <w:kern w:val="0"/>
                <w:sz w:val="20"/>
                <w:szCs w:val="20"/>
                <w:lang w:val="fr-BE" w:eastAsia="fr-BE"/>
              </w:rPr>
            </w:pPr>
          </w:p>
        </w:tc>
      </w:tr>
      <w:tr w:rsidR="0055535A" w:rsidTr="0055535A">
        <w:trPr>
          <w:trHeight w:val="288"/>
        </w:trPr>
        <w:tc>
          <w:tcPr>
            <w:tcW w:w="1220" w:type="dxa"/>
            <w:tcBorders>
              <w:top w:val="nil"/>
              <w:left w:val="single" w:sz="8" w:space="0" w:color="auto"/>
              <w:bottom w:val="nil"/>
              <w:right w:val="single" w:sz="8" w:space="0" w:color="auto"/>
            </w:tcBorders>
            <w:vAlign w:val="center"/>
            <w:hideMark/>
          </w:tcPr>
          <w:p w:rsidR="0055535A" w:rsidRDefault="0055535A">
            <w:pPr>
              <w:widowControl/>
              <w:suppressAutoHyphens w:val="0"/>
              <w:rPr>
                <w:rFonts w:cs="Arial"/>
                <w:b/>
                <w:bCs/>
                <w:color w:val="000000"/>
                <w:kern w:val="0"/>
                <w:sz w:val="18"/>
                <w:szCs w:val="18"/>
                <w:lang w:val="fr-BE" w:eastAsia="fr-BE"/>
              </w:rPr>
            </w:pPr>
            <w:r>
              <w:rPr>
                <w:rFonts w:cs="Arial"/>
                <w:b/>
                <w:bCs/>
                <w:color w:val="000000"/>
                <w:kern w:val="0"/>
                <w:sz w:val="18"/>
                <w:szCs w:val="18"/>
                <w:lang w:val="fr-BE" w:eastAsia="fr-BE"/>
              </w:rPr>
              <w:t>PAISS</w:t>
            </w:r>
          </w:p>
        </w:tc>
        <w:tc>
          <w:tcPr>
            <w:tcW w:w="1580" w:type="dxa"/>
            <w:vMerge w:val="restart"/>
            <w:tcBorders>
              <w:top w:val="nil"/>
              <w:left w:val="single" w:sz="8" w:space="0" w:color="auto"/>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2.182.437 €</w:t>
            </w:r>
          </w:p>
        </w:tc>
        <w:tc>
          <w:tcPr>
            <w:tcW w:w="1660" w:type="dxa"/>
            <w:tcBorders>
              <w:top w:val="nil"/>
              <w:left w:val="nil"/>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w:t>
            </w:r>
          </w:p>
        </w:tc>
        <w:tc>
          <w:tcPr>
            <w:tcW w:w="1580" w:type="dxa"/>
            <w:vMerge w:val="restart"/>
            <w:tcBorders>
              <w:top w:val="nil"/>
              <w:left w:val="single" w:sz="8" w:space="0" w:color="auto"/>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1.216.557 €</w:t>
            </w:r>
          </w:p>
        </w:tc>
        <w:tc>
          <w:tcPr>
            <w:tcW w:w="1580" w:type="dxa"/>
            <w:vMerge w:val="restart"/>
            <w:tcBorders>
              <w:top w:val="nil"/>
              <w:left w:val="single" w:sz="8" w:space="0" w:color="auto"/>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632.039 €</w:t>
            </w:r>
          </w:p>
        </w:tc>
        <w:tc>
          <w:tcPr>
            <w:tcW w:w="1580" w:type="dxa"/>
            <w:vMerge w:val="restart"/>
            <w:tcBorders>
              <w:top w:val="nil"/>
              <w:left w:val="single" w:sz="8" w:space="0" w:color="auto"/>
              <w:bottom w:val="nil"/>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71%</w:t>
            </w:r>
          </w:p>
        </w:tc>
      </w:tr>
      <w:tr w:rsidR="0055535A" w:rsidTr="0055535A">
        <w:trPr>
          <w:trHeight w:val="288"/>
        </w:trPr>
        <w:tc>
          <w:tcPr>
            <w:tcW w:w="1220" w:type="dxa"/>
            <w:tcBorders>
              <w:top w:val="nil"/>
              <w:left w:val="single" w:sz="8" w:space="0" w:color="auto"/>
              <w:bottom w:val="nil"/>
              <w:right w:val="single" w:sz="8" w:space="0" w:color="auto"/>
            </w:tcBorders>
            <w:vAlign w:val="center"/>
            <w:hideMark/>
          </w:tcPr>
          <w:p w:rsidR="0055535A" w:rsidRDefault="0055535A">
            <w:pPr>
              <w:widowControl/>
              <w:suppressAutoHyphens w:val="0"/>
              <w:rPr>
                <w:rFonts w:cs="Arial"/>
                <w:b/>
                <w:bCs/>
                <w:color w:val="000000"/>
                <w:kern w:val="0"/>
                <w:sz w:val="18"/>
                <w:szCs w:val="18"/>
                <w:lang w:val="fr-BE" w:eastAsia="fr-BE"/>
              </w:rPr>
            </w:pPr>
            <w:r>
              <w:rPr>
                <w:rFonts w:cs="Arial"/>
                <w:b/>
                <w:bCs/>
                <w:color w:val="000000"/>
                <w:kern w:val="0"/>
                <w:sz w:val="18"/>
                <w:szCs w:val="18"/>
                <w:lang w:val="fr-BE" w:eastAsia="fr-BE"/>
              </w:rPr>
              <w:t>Volet PC</w:t>
            </w: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1660" w:type="dxa"/>
            <w:tcBorders>
              <w:top w:val="nil"/>
              <w:left w:val="nil"/>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2015 : 333.841 €</w:t>
            </w: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r>
      <w:tr w:rsidR="0055535A" w:rsidTr="0055535A">
        <w:trPr>
          <w:trHeight w:val="300"/>
        </w:trPr>
        <w:tc>
          <w:tcPr>
            <w:tcW w:w="1220" w:type="dxa"/>
            <w:tcBorders>
              <w:top w:val="nil"/>
              <w:left w:val="single" w:sz="8" w:space="0" w:color="auto"/>
              <w:bottom w:val="nil"/>
              <w:right w:val="single" w:sz="8" w:space="0" w:color="auto"/>
            </w:tcBorders>
            <w:vAlign w:val="center"/>
            <w:hideMark/>
          </w:tcPr>
          <w:p w:rsidR="0055535A" w:rsidRDefault="0055535A">
            <w:pPr>
              <w:widowControl/>
              <w:suppressAutoHyphens w:val="0"/>
              <w:rPr>
                <w:rFonts w:cs="Arial"/>
                <w:b/>
                <w:bCs/>
                <w:color w:val="000000"/>
                <w:kern w:val="0"/>
                <w:sz w:val="18"/>
                <w:szCs w:val="18"/>
                <w:lang w:val="fr-BE" w:eastAsia="fr-BE"/>
              </w:rPr>
            </w:pPr>
            <w:r>
              <w:rPr>
                <w:rFonts w:cs="Arial"/>
                <w:b/>
                <w:bCs/>
                <w:color w:val="000000"/>
                <w:kern w:val="0"/>
                <w:sz w:val="18"/>
                <w:szCs w:val="18"/>
                <w:lang w:val="fr-BE" w:eastAsia="fr-BE"/>
              </w:rPr>
              <w:t> </w:t>
            </w: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1660" w:type="dxa"/>
            <w:tcBorders>
              <w:top w:val="nil"/>
              <w:left w:val="nil"/>
              <w:bottom w:val="nil"/>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w:t>
            </w: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c>
          <w:tcPr>
            <w:tcW w:w="0" w:type="auto"/>
            <w:vMerge/>
            <w:tcBorders>
              <w:top w:val="nil"/>
              <w:left w:val="single" w:sz="8" w:space="0" w:color="auto"/>
              <w:bottom w:val="nil"/>
              <w:right w:val="single" w:sz="8" w:space="0" w:color="auto"/>
            </w:tcBorders>
            <w:vAlign w:val="center"/>
            <w:hideMark/>
          </w:tcPr>
          <w:p w:rsidR="0055535A" w:rsidRDefault="0055535A">
            <w:pPr>
              <w:widowControl/>
              <w:suppressAutoHyphens w:val="0"/>
              <w:snapToGrid/>
              <w:rPr>
                <w:rFonts w:cs="Arial"/>
                <w:b/>
                <w:bCs/>
                <w:color w:val="000000"/>
                <w:kern w:val="0"/>
                <w:sz w:val="18"/>
                <w:szCs w:val="18"/>
                <w:lang w:val="fr-BE" w:eastAsia="fr-BE"/>
              </w:rPr>
            </w:pPr>
          </w:p>
        </w:tc>
      </w:tr>
      <w:tr w:rsidR="0055535A" w:rsidTr="0055535A">
        <w:trPr>
          <w:trHeight w:val="300"/>
        </w:trPr>
        <w:tc>
          <w:tcPr>
            <w:tcW w:w="1220" w:type="dxa"/>
            <w:tcBorders>
              <w:top w:val="single" w:sz="8" w:space="0" w:color="auto"/>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1</w:t>
            </w:r>
          </w:p>
        </w:tc>
        <w:tc>
          <w:tcPr>
            <w:tcW w:w="158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374.496  €</w:t>
            </w:r>
          </w:p>
        </w:tc>
        <w:tc>
          <w:tcPr>
            <w:tcW w:w="166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836  €</w:t>
            </w:r>
          </w:p>
        </w:tc>
        <w:tc>
          <w:tcPr>
            <w:tcW w:w="158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24.547  €</w:t>
            </w:r>
          </w:p>
        </w:tc>
        <w:tc>
          <w:tcPr>
            <w:tcW w:w="158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349.113  €</w:t>
            </w:r>
          </w:p>
        </w:tc>
        <w:tc>
          <w:tcPr>
            <w:tcW w:w="158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7%</w:t>
            </w:r>
          </w:p>
        </w:tc>
      </w:tr>
      <w:tr w:rsidR="0055535A" w:rsidTr="0055535A">
        <w:trPr>
          <w:trHeight w:val="300"/>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2</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739.100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43.511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621.039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74.550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90%</w:t>
            </w:r>
          </w:p>
        </w:tc>
      </w:tr>
      <w:tr w:rsidR="0055535A" w:rsidTr="0055535A">
        <w:trPr>
          <w:trHeight w:val="300"/>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Output 3</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456.541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60.385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256.389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139.767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69%</w:t>
            </w:r>
          </w:p>
        </w:tc>
      </w:tr>
      <w:tr w:rsidR="0055535A" w:rsidTr="0055535A">
        <w:trPr>
          <w:trHeight w:val="300"/>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Réserve</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0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 </w:t>
            </w:r>
          </w:p>
        </w:tc>
      </w:tr>
      <w:tr w:rsidR="0055535A" w:rsidTr="0055535A">
        <w:trPr>
          <w:trHeight w:val="468"/>
        </w:trPr>
        <w:tc>
          <w:tcPr>
            <w:tcW w:w="1220"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Moyens généraux</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612.300  €</w:t>
            </w:r>
          </w:p>
        </w:tc>
        <w:tc>
          <w:tcPr>
            <w:tcW w:w="166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229.109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314.582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68.609  €</w:t>
            </w:r>
          </w:p>
        </w:tc>
        <w:tc>
          <w:tcPr>
            <w:tcW w:w="1580"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89%</w:t>
            </w:r>
          </w:p>
        </w:tc>
      </w:tr>
    </w:tbl>
    <w:p w:rsidR="0055535A" w:rsidRDefault="0055535A" w:rsidP="0055535A">
      <w:pPr>
        <w:ind w:left="-709" w:hanging="709"/>
        <w:rPr>
          <w:rFonts w:cs="Arial"/>
          <w:sz w:val="16"/>
          <w:szCs w:val="16"/>
        </w:rPr>
      </w:pPr>
    </w:p>
    <w:p w:rsidR="0055535A" w:rsidRDefault="0055535A" w:rsidP="0055535A">
      <w:pPr>
        <w:ind w:left="-709"/>
        <w:rPr>
          <w:rFonts w:cs="Arial"/>
          <w:sz w:val="20"/>
          <w:szCs w:val="20"/>
        </w:rPr>
      </w:pPr>
      <w:r>
        <w:rPr>
          <w:rFonts w:cs="Arial"/>
          <w:sz w:val="20"/>
          <w:szCs w:val="20"/>
        </w:rPr>
        <w:t>Activités Suspendues :</w:t>
      </w:r>
    </w:p>
    <w:p w:rsidR="0055535A" w:rsidRDefault="0055535A" w:rsidP="0055535A">
      <w:pPr>
        <w:ind w:left="-709" w:hanging="709"/>
        <w:rPr>
          <w:rFonts w:cs="Arial"/>
          <w:sz w:val="16"/>
          <w:szCs w:val="16"/>
        </w:rPr>
      </w:pPr>
    </w:p>
    <w:tbl>
      <w:tblPr>
        <w:tblW w:w="9214" w:type="dxa"/>
        <w:tblInd w:w="-719" w:type="dxa"/>
        <w:tblCellMar>
          <w:left w:w="70" w:type="dxa"/>
          <w:right w:w="70" w:type="dxa"/>
        </w:tblCellMar>
        <w:tblLook w:val="04A0" w:firstRow="1" w:lastRow="0" w:firstColumn="1" w:lastColumn="0" w:noHBand="0" w:noVBand="1"/>
      </w:tblPr>
      <w:tblGrid>
        <w:gridCol w:w="1899"/>
        <w:gridCol w:w="1540"/>
        <w:gridCol w:w="1540"/>
        <w:gridCol w:w="1540"/>
        <w:gridCol w:w="1540"/>
        <w:gridCol w:w="1155"/>
      </w:tblGrid>
      <w:tr w:rsidR="0055535A" w:rsidTr="0055535A">
        <w:trPr>
          <w:trHeight w:val="495"/>
        </w:trPr>
        <w:tc>
          <w:tcPr>
            <w:tcW w:w="1899" w:type="dxa"/>
            <w:tcBorders>
              <w:top w:val="single" w:sz="8" w:space="0" w:color="auto"/>
              <w:left w:val="single" w:sz="8" w:space="0" w:color="auto"/>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Budget Code</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Activité</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Commentaires</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Budget initial</w:t>
            </w:r>
          </w:p>
        </w:tc>
        <w:tc>
          <w:tcPr>
            <w:tcW w:w="1540"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Budget Suspendu</w:t>
            </w:r>
          </w:p>
        </w:tc>
        <w:tc>
          <w:tcPr>
            <w:tcW w:w="1155" w:type="dxa"/>
            <w:tcBorders>
              <w:top w:val="single" w:sz="8" w:space="0" w:color="auto"/>
              <w:left w:val="nil"/>
              <w:bottom w:val="single" w:sz="8" w:space="0" w:color="auto"/>
              <w:right w:val="single" w:sz="8" w:space="0" w:color="auto"/>
            </w:tcBorders>
            <w:vAlign w:val="center"/>
            <w:hideMark/>
          </w:tcPr>
          <w:p w:rsidR="0055535A" w:rsidRDefault="0055535A">
            <w:pPr>
              <w:widowControl/>
              <w:suppressAutoHyphens w:val="0"/>
              <w:jc w:val="center"/>
              <w:rPr>
                <w:rFonts w:cs="Arial"/>
                <w:b/>
                <w:bCs/>
                <w:color w:val="000000"/>
                <w:kern w:val="0"/>
                <w:sz w:val="18"/>
                <w:szCs w:val="18"/>
                <w:lang w:val="fr-BE" w:eastAsia="fr-BE"/>
              </w:rPr>
            </w:pPr>
            <w:r>
              <w:rPr>
                <w:rFonts w:cs="Arial"/>
                <w:b/>
                <w:bCs/>
                <w:color w:val="000000"/>
                <w:kern w:val="0"/>
                <w:sz w:val="18"/>
                <w:szCs w:val="18"/>
                <w:lang w:val="fr-BE" w:eastAsia="fr-BE"/>
              </w:rPr>
              <w:t>% Suspendu</w:t>
            </w:r>
          </w:p>
        </w:tc>
      </w:tr>
      <w:tr w:rsidR="0055535A" w:rsidTr="0055535A">
        <w:trPr>
          <w:trHeight w:val="1002"/>
        </w:trPr>
        <w:tc>
          <w:tcPr>
            <w:tcW w:w="1899"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A01-02</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Appuyer l'élaboration de la nouvelle politique de santé et du PNDS III</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Appui direct au niveau central</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70.000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70.000  €</w:t>
            </w:r>
          </w:p>
        </w:tc>
        <w:tc>
          <w:tcPr>
            <w:tcW w:w="1155"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100%</w:t>
            </w:r>
          </w:p>
        </w:tc>
      </w:tr>
      <w:tr w:rsidR="0055535A" w:rsidTr="0055535A">
        <w:trPr>
          <w:trHeight w:val="915"/>
        </w:trPr>
        <w:tc>
          <w:tcPr>
            <w:tcW w:w="1899"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A01-03</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Appuyer la stratégie nationale de financement du secteur de la santé</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Dossier hautement politique</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52.000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52.000  €</w:t>
            </w:r>
          </w:p>
        </w:tc>
        <w:tc>
          <w:tcPr>
            <w:tcW w:w="1155"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100%</w:t>
            </w:r>
          </w:p>
        </w:tc>
      </w:tr>
      <w:tr w:rsidR="0055535A" w:rsidTr="0055535A">
        <w:trPr>
          <w:trHeight w:val="690"/>
        </w:trPr>
        <w:tc>
          <w:tcPr>
            <w:tcW w:w="1899"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A01-04</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Consolider le  FBP développé au niveau central</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Appui direct au niveau central</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220.000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220.000  €</w:t>
            </w:r>
          </w:p>
        </w:tc>
        <w:tc>
          <w:tcPr>
            <w:tcW w:w="1155"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100%</w:t>
            </w:r>
          </w:p>
        </w:tc>
      </w:tr>
      <w:tr w:rsidR="0055535A" w:rsidTr="0055535A">
        <w:trPr>
          <w:trHeight w:val="1365"/>
        </w:trPr>
        <w:tc>
          <w:tcPr>
            <w:tcW w:w="1899"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A02-01</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Appuyer les ECD et ECP dans leurs fonctions suivant les stratégies nationales</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Processus d'élaboration du PNDS3 incertain / Incertitude et pas efficient sans le nouveau PNDS3</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97.300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25.000  €</w:t>
            </w:r>
          </w:p>
        </w:tc>
        <w:tc>
          <w:tcPr>
            <w:tcW w:w="1155"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26%</w:t>
            </w:r>
          </w:p>
        </w:tc>
      </w:tr>
      <w:tr w:rsidR="0055535A" w:rsidTr="0055535A">
        <w:trPr>
          <w:trHeight w:val="1815"/>
        </w:trPr>
        <w:tc>
          <w:tcPr>
            <w:tcW w:w="1899"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A03-01</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Appuyer l'actualisation de la politique et du plan stratégique de développement des ressources humaines 2010-2014</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Elaboration d'une nouvelle stratégie</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68.000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68.000  €</w:t>
            </w:r>
          </w:p>
        </w:tc>
        <w:tc>
          <w:tcPr>
            <w:tcW w:w="1155"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100%</w:t>
            </w:r>
          </w:p>
        </w:tc>
      </w:tr>
      <w:tr w:rsidR="0055535A" w:rsidTr="0055535A">
        <w:trPr>
          <w:trHeight w:val="1140"/>
        </w:trPr>
        <w:tc>
          <w:tcPr>
            <w:tcW w:w="1899"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rPr>
                <w:rFonts w:cs="Arial"/>
                <w:color w:val="000000"/>
                <w:kern w:val="0"/>
                <w:sz w:val="18"/>
                <w:szCs w:val="18"/>
                <w:lang w:val="fr-BE" w:eastAsia="fr-BE"/>
              </w:rPr>
            </w:pPr>
            <w:r>
              <w:rPr>
                <w:rFonts w:cs="Arial"/>
                <w:color w:val="000000"/>
                <w:kern w:val="0"/>
                <w:sz w:val="18"/>
                <w:szCs w:val="18"/>
                <w:lang w:val="fr-BE" w:eastAsia="fr-BE"/>
              </w:rPr>
              <w:t>A03-03</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Consolider la gestion décentralisée des ressources humaines</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rPr>
                <w:rFonts w:cs="Arial"/>
                <w:color w:val="000000"/>
                <w:kern w:val="0"/>
                <w:sz w:val="16"/>
                <w:szCs w:val="16"/>
                <w:lang w:val="fr-BE" w:eastAsia="fr-BE"/>
              </w:rPr>
            </w:pPr>
            <w:r>
              <w:rPr>
                <w:rFonts w:cs="Arial"/>
                <w:color w:val="000000"/>
                <w:kern w:val="0"/>
                <w:sz w:val="16"/>
                <w:szCs w:val="16"/>
                <w:lang w:val="fr-BE" w:eastAsia="fr-BE"/>
              </w:rPr>
              <w:t>La décentralisation de la gestion du personnel est un dossier politique</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69.000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color w:val="000000"/>
                <w:kern w:val="0"/>
                <w:sz w:val="18"/>
                <w:szCs w:val="18"/>
                <w:lang w:val="fr-BE" w:eastAsia="fr-BE"/>
              </w:rPr>
            </w:pPr>
            <w:r>
              <w:rPr>
                <w:rFonts w:cs="Arial"/>
                <w:color w:val="000000"/>
                <w:kern w:val="0"/>
                <w:sz w:val="18"/>
                <w:szCs w:val="18"/>
                <w:lang w:val="fr-BE" w:eastAsia="fr-BE"/>
              </w:rPr>
              <w:t>28.000  €</w:t>
            </w:r>
          </w:p>
        </w:tc>
        <w:tc>
          <w:tcPr>
            <w:tcW w:w="1155" w:type="dxa"/>
            <w:tcBorders>
              <w:top w:val="nil"/>
              <w:left w:val="nil"/>
              <w:bottom w:val="single" w:sz="8" w:space="0" w:color="auto"/>
              <w:right w:val="single" w:sz="8" w:space="0" w:color="auto"/>
            </w:tcBorders>
            <w:vAlign w:val="center"/>
            <w:hideMark/>
          </w:tcPr>
          <w:p w:rsidR="0055535A" w:rsidRDefault="0055535A">
            <w:pPr>
              <w:widowControl/>
              <w:suppressAutoHyphens w:val="0"/>
              <w:jc w:val="center"/>
              <w:rPr>
                <w:rFonts w:cs="Arial"/>
                <w:color w:val="000000"/>
                <w:kern w:val="0"/>
                <w:sz w:val="18"/>
                <w:szCs w:val="18"/>
                <w:lang w:val="fr-BE" w:eastAsia="fr-BE"/>
              </w:rPr>
            </w:pPr>
            <w:r>
              <w:rPr>
                <w:rFonts w:cs="Arial"/>
                <w:color w:val="000000"/>
                <w:kern w:val="0"/>
                <w:sz w:val="18"/>
                <w:szCs w:val="18"/>
                <w:lang w:val="fr-BE" w:eastAsia="fr-BE"/>
              </w:rPr>
              <w:t>41%</w:t>
            </w:r>
          </w:p>
        </w:tc>
      </w:tr>
      <w:tr w:rsidR="0055535A" w:rsidTr="0055535A">
        <w:trPr>
          <w:trHeight w:val="315"/>
        </w:trPr>
        <w:tc>
          <w:tcPr>
            <w:tcW w:w="1899" w:type="dxa"/>
            <w:tcBorders>
              <w:top w:val="nil"/>
              <w:left w:val="single" w:sz="8" w:space="0" w:color="auto"/>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Totaux</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576.300  €</w:t>
            </w:r>
          </w:p>
        </w:tc>
        <w:tc>
          <w:tcPr>
            <w:tcW w:w="1540" w:type="dxa"/>
            <w:tcBorders>
              <w:top w:val="nil"/>
              <w:left w:val="nil"/>
              <w:bottom w:val="single" w:sz="8" w:space="0" w:color="auto"/>
              <w:right w:val="single" w:sz="8" w:space="0" w:color="auto"/>
            </w:tcBorders>
            <w:vAlign w:val="center"/>
            <w:hideMark/>
          </w:tcPr>
          <w:p w:rsidR="0055535A" w:rsidRDefault="0055535A">
            <w:pPr>
              <w:widowControl/>
              <w:suppressAutoHyphens w:val="0"/>
              <w:jc w:val="right"/>
              <w:rPr>
                <w:rFonts w:cs="Arial"/>
                <w:b/>
                <w:bCs/>
                <w:color w:val="000000"/>
                <w:kern w:val="0"/>
                <w:sz w:val="18"/>
                <w:szCs w:val="18"/>
                <w:lang w:val="fr-BE" w:eastAsia="fr-BE"/>
              </w:rPr>
            </w:pPr>
            <w:r>
              <w:rPr>
                <w:rFonts w:cs="Arial"/>
                <w:b/>
                <w:bCs/>
                <w:color w:val="000000"/>
                <w:kern w:val="0"/>
                <w:sz w:val="18"/>
                <w:szCs w:val="18"/>
                <w:lang w:val="fr-BE" w:eastAsia="fr-BE"/>
              </w:rPr>
              <w:t>463.000  €</w:t>
            </w:r>
          </w:p>
        </w:tc>
        <w:tc>
          <w:tcPr>
            <w:tcW w:w="1155" w:type="dxa"/>
            <w:tcBorders>
              <w:top w:val="nil"/>
              <w:left w:val="nil"/>
              <w:bottom w:val="single" w:sz="8" w:space="0" w:color="auto"/>
              <w:right w:val="single" w:sz="8" w:space="0" w:color="auto"/>
            </w:tcBorders>
            <w:vAlign w:val="center"/>
            <w:hideMark/>
          </w:tcPr>
          <w:p w:rsidR="0055535A" w:rsidRDefault="0055535A">
            <w:pPr>
              <w:widowControl/>
              <w:suppressAutoHyphens w:val="0"/>
              <w:snapToGrid/>
              <w:rPr>
                <w:rFonts w:ascii="Times New Roman" w:hAnsi="Times New Roman"/>
                <w:kern w:val="0"/>
                <w:sz w:val="20"/>
                <w:szCs w:val="20"/>
                <w:lang w:val="en-US" w:eastAsia="en-US"/>
              </w:rPr>
            </w:pPr>
          </w:p>
        </w:tc>
      </w:tr>
    </w:tbl>
    <w:p w:rsidR="0055535A" w:rsidRDefault="0055535A" w:rsidP="0055535A">
      <w:pPr>
        <w:ind w:left="-709" w:hanging="709"/>
        <w:rPr>
          <w:rFonts w:cs="Arial"/>
          <w:sz w:val="16"/>
          <w:szCs w:val="16"/>
        </w:rPr>
      </w:pPr>
    </w:p>
    <w:p w:rsidR="0055535A" w:rsidRDefault="0055535A" w:rsidP="0055535A">
      <w:pPr>
        <w:ind w:left="-709" w:hanging="709"/>
        <w:rPr>
          <w:rFonts w:cs="Arial"/>
          <w:sz w:val="16"/>
          <w:szCs w:val="16"/>
        </w:rPr>
      </w:pPr>
    </w:p>
    <w:p w:rsidR="0055535A" w:rsidRDefault="0055535A" w:rsidP="0055535A">
      <w:pPr>
        <w:pStyle w:val="Titre2"/>
        <w:numPr>
          <w:ilvl w:val="1"/>
          <w:numId w:val="16"/>
        </w:numPr>
        <w:tabs>
          <w:tab w:val="clear" w:pos="3978"/>
          <w:tab w:val="num" w:pos="576"/>
        </w:tabs>
        <w:ind w:left="576"/>
        <w:rPr>
          <w:rFonts w:cs="Arial"/>
          <w:sz w:val="28"/>
        </w:rPr>
      </w:pPr>
      <w:bookmarkStart w:id="18" w:name="_Toc475972139"/>
      <w:bookmarkStart w:id="19" w:name="_Toc411938792"/>
      <w:bookmarkStart w:id="20" w:name="_Toc370814263"/>
      <w:bookmarkStart w:id="21" w:name="_Toc370814187"/>
      <w:r>
        <w:t>Autoévaluation de la performance</w:t>
      </w:r>
      <w:bookmarkEnd w:id="18"/>
      <w:bookmarkEnd w:id="19"/>
      <w:bookmarkEnd w:id="20"/>
      <w:bookmarkEnd w:id="21"/>
      <w:r>
        <w:t xml:space="preserve"> </w:t>
      </w:r>
    </w:p>
    <w:p w:rsidR="0055535A" w:rsidRDefault="0055535A" w:rsidP="0055535A">
      <w:pPr>
        <w:pStyle w:val="Titre3"/>
        <w:numPr>
          <w:ilvl w:val="2"/>
          <w:numId w:val="16"/>
        </w:numPr>
      </w:pPr>
      <w:bookmarkStart w:id="22" w:name="_Toc475972140"/>
      <w:bookmarkStart w:id="23" w:name="_Toc411938793"/>
      <w:bookmarkStart w:id="24" w:name="_Toc370814264"/>
      <w:bookmarkStart w:id="25" w:name="_Toc370814188"/>
      <w:r>
        <w:t>Pertinence</w:t>
      </w:r>
      <w:bookmarkEnd w:id="22"/>
      <w:bookmarkEnd w:id="23"/>
      <w:bookmarkEnd w:id="24"/>
      <w:bookmarkEnd w:id="25"/>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2533"/>
      </w:tblGrid>
      <w:tr w:rsidR="0055535A" w:rsidTr="0055535A">
        <w:trPr>
          <w:trHeight w:val="253"/>
        </w:trPr>
        <w:tc>
          <w:tcPr>
            <w:tcW w:w="5397" w:type="dxa"/>
            <w:tcBorders>
              <w:top w:val="nil"/>
              <w:left w:val="nil"/>
              <w:bottom w:val="single" w:sz="4" w:space="0" w:color="auto"/>
              <w:right w:val="single" w:sz="4" w:space="0" w:color="auto"/>
            </w:tcBorders>
          </w:tcPr>
          <w:p w:rsidR="0055535A" w:rsidRDefault="0055535A">
            <w:pPr>
              <w:rPr>
                <w:b/>
                <w:sz w:val="20"/>
                <w:szCs w:val="20"/>
              </w:rPr>
            </w:pPr>
          </w:p>
        </w:tc>
        <w:tc>
          <w:tcPr>
            <w:tcW w:w="2533" w:type="dxa"/>
            <w:tcBorders>
              <w:top w:val="single" w:sz="4" w:space="0" w:color="auto"/>
              <w:left w:val="single" w:sz="4" w:space="0" w:color="auto"/>
              <w:bottom w:val="single" w:sz="4" w:space="0" w:color="auto"/>
              <w:right w:val="single" w:sz="4" w:space="0" w:color="auto"/>
            </w:tcBorders>
            <w:hideMark/>
          </w:tcPr>
          <w:p w:rsidR="0055535A" w:rsidRDefault="0055535A">
            <w:pPr>
              <w:rPr>
                <w:b/>
                <w:sz w:val="20"/>
                <w:szCs w:val="20"/>
              </w:rPr>
            </w:pPr>
            <w:r>
              <w:rPr>
                <w:b/>
                <w:sz w:val="20"/>
              </w:rPr>
              <w:t>Performance</w:t>
            </w:r>
          </w:p>
        </w:tc>
      </w:tr>
      <w:tr w:rsidR="0055535A" w:rsidTr="0055535A">
        <w:trPr>
          <w:trHeight w:val="272"/>
        </w:trPr>
        <w:tc>
          <w:tcPr>
            <w:tcW w:w="539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b/>
                <w:sz w:val="20"/>
                <w:szCs w:val="20"/>
              </w:rPr>
            </w:pPr>
            <w:r>
              <w:rPr>
                <w:b/>
                <w:sz w:val="20"/>
              </w:rPr>
              <w:t>Pertinence</w:t>
            </w:r>
          </w:p>
        </w:tc>
        <w:tc>
          <w:tcPr>
            <w:tcW w:w="253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b/>
                <w:sz w:val="20"/>
                <w:szCs w:val="20"/>
              </w:rPr>
            </w:pPr>
            <w:r>
              <w:rPr>
                <w:b/>
                <w:sz w:val="20"/>
                <w:szCs w:val="20"/>
              </w:rPr>
              <w:t>B</w:t>
            </w:r>
          </w:p>
        </w:tc>
      </w:tr>
    </w:tbl>
    <w:p w:rsidR="0055535A" w:rsidRDefault="0055535A" w:rsidP="0055535A">
      <w:pPr>
        <w:jc w:val="both"/>
        <w:rPr>
          <w:sz w:val="20"/>
          <w:szCs w:val="20"/>
        </w:rPr>
      </w:pPr>
    </w:p>
    <w:p w:rsidR="0055535A" w:rsidRDefault="0055535A" w:rsidP="0055535A">
      <w:pPr>
        <w:tabs>
          <w:tab w:val="left" w:pos="820"/>
        </w:tabs>
        <w:autoSpaceDE w:val="0"/>
        <w:autoSpaceDN w:val="0"/>
        <w:adjustRightInd w:val="0"/>
        <w:spacing w:before="15" w:line="232" w:lineRule="exact"/>
        <w:ind w:right="84"/>
        <w:jc w:val="both"/>
        <w:rPr>
          <w:sz w:val="20"/>
        </w:rPr>
      </w:pPr>
      <w:r>
        <w:rPr>
          <w:sz w:val="20"/>
          <w:szCs w:val="20"/>
        </w:rPr>
        <w:t xml:space="preserve">L’année 2016 est restée affectée par la situation de l’année 2015, caractérisée par la crise politique née du conflit électoral. A la suite de cette crise et en </w:t>
      </w:r>
      <w:r>
        <w:rPr>
          <w:sz w:val="20"/>
        </w:rPr>
        <w:t xml:space="preserve">vertu de l’article 96 de l’Accord de Cotonou, la Belgique a suspendu l’appui institutionnel qui était assuré à l’administration burundaise au niveau central et a maintenu son soutien financier au niveau opérationnel, plus proche de la population burundaise. </w:t>
      </w:r>
    </w:p>
    <w:p w:rsidR="0055535A" w:rsidRDefault="0055535A" w:rsidP="0055535A">
      <w:pPr>
        <w:tabs>
          <w:tab w:val="left" w:pos="820"/>
        </w:tabs>
        <w:autoSpaceDE w:val="0"/>
        <w:autoSpaceDN w:val="0"/>
        <w:adjustRightInd w:val="0"/>
        <w:spacing w:before="15" w:line="232" w:lineRule="exact"/>
        <w:ind w:right="84"/>
        <w:jc w:val="both"/>
        <w:rPr>
          <w:sz w:val="20"/>
        </w:rPr>
      </w:pPr>
      <w:r>
        <w:rPr>
          <w:sz w:val="20"/>
        </w:rPr>
        <w:t>Cette suspension a affecté les principes clés du double ancrage et de la cogestion du Programme. Ainsi tout en gardant sa pertinence, le programme peut être comparé à un canard boiteux. En effet :</w:t>
      </w:r>
    </w:p>
    <w:p w:rsidR="0055535A" w:rsidRDefault="0055535A" w:rsidP="0055535A">
      <w:pPr>
        <w:pStyle w:val="CTBCorpsdetexte"/>
      </w:pPr>
      <w:r>
        <w:t xml:space="preserve">- Le PAISS est resté inscrit dans les politiques de coopération belge.  En effet, les différents volets du PAISS (PAISS PC, Volet 4 et volet 5) assurent la continuité des interventions de la CTB depuis 2008 en renforcement des acquis des trois volets précédents (volets 1-3). </w:t>
      </w:r>
    </w:p>
    <w:p w:rsidR="0055535A" w:rsidRDefault="0055535A" w:rsidP="0055535A">
      <w:pPr>
        <w:pStyle w:val="CTBCorpsdetexte"/>
      </w:pPr>
      <w:r>
        <w:t xml:space="preserve">- Le PAISS continue à répondre aux besoins des groupes cibles finaux et intermédiaires qui sont la population générale et les acteurs du système de santé au niveau intermédiaire et opérationnel. Comme a pu l’objectiver l’évaluation finale du Programme en décembre 2016, ces bénéficiaires apprécient unanimement l’intervention. </w:t>
      </w:r>
    </w:p>
    <w:p w:rsidR="0055535A" w:rsidRDefault="0055535A" w:rsidP="0055535A">
      <w:pPr>
        <w:pStyle w:val="CTBCorpsdetexte"/>
      </w:pPr>
      <w:r>
        <w:t xml:space="preserve">- Excepté le renforcement de la gouvernance au niveau central, les activités du PAISS couvrent toujours la presque totalité des piliers du système de santé. En effet, les résultats 1 et 2 du PAISS-PC renforcent la gouvernance des niveaux intermédiaires, périphériques et communautaires ; le résultat 3 poursuit le renforcement des ressources humaines ; le volet 4 poursuit l’appui au système d’informations sanitaires et le volet 5 l’appui aux infrastructures, équipements et leur maintenance. Les piliers prestations de services, financement, et médicament ont continué quant à eux à être appuyés indirectement par le biais du co-financement du PBF (volet 2) pour l’achat de services dans les provinces appuyées. </w:t>
      </w:r>
    </w:p>
    <w:p w:rsidR="0055535A" w:rsidRDefault="0055535A" w:rsidP="0055535A">
      <w:pPr>
        <w:pStyle w:val="CTBCorpsdetexte"/>
      </w:pPr>
      <w:r>
        <w:t>- Par ailleurs, le programme est resté en phase avec les politiques et stratégies nationales, sectorielles et sous-sectorielles et notamment, le CSLP 2012-2016, la PNS 2016-2025 et le PNDS II étendu de 2010 à 2018. Ainsi les indicateurs cibles restent ceux du PNDS.</w:t>
      </w:r>
    </w:p>
    <w:p w:rsidR="0055535A" w:rsidRDefault="0055535A" w:rsidP="0055535A">
      <w:pPr>
        <w:pStyle w:val="CTBCorpsdetexte"/>
      </w:pPr>
      <w:r>
        <w:t>- Enfin, le Programme jouit toujours de la complémentarité des interventions des autres partenaires, en particulier le Projet d'Appui au Système de santé à travers l’outil FBP (UE –PASS-FBP) de l’UE qui a démarré en juillet 2016 pour financer le PBF ainsi que du Projet d’appui institutionnel de la Banque Mondiale (BM) qui finance particulièrement le PBF.</w:t>
      </w:r>
    </w:p>
    <w:p w:rsidR="0055535A" w:rsidRDefault="0055535A" w:rsidP="0055535A">
      <w:pPr>
        <w:pStyle w:val="CTBCorpsdetexte"/>
      </w:pPr>
      <w:r>
        <w:t>Le PAISS reste donc en phase avec la politique belge, avec les besoins de la population burundaise et avec les appuis des autres partenaires.</w:t>
      </w:r>
    </w:p>
    <w:p w:rsidR="0055535A" w:rsidRDefault="0055535A" w:rsidP="0055535A">
      <w:pPr>
        <w:pStyle w:val="Titre3"/>
        <w:numPr>
          <w:ilvl w:val="2"/>
          <w:numId w:val="16"/>
        </w:numPr>
      </w:pPr>
      <w:bookmarkStart w:id="26" w:name="_Toc475972141"/>
      <w:bookmarkStart w:id="27" w:name="_Toc411938794"/>
      <w:bookmarkStart w:id="28" w:name="_Toc370814265"/>
      <w:bookmarkStart w:id="29" w:name="_Toc370814189"/>
      <w:r>
        <w:t>Efficacité</w:t>
      </w:r>
      <w:bookmarkEnd w:id="26"/>
      <w:bookmarkEnd w:id="27"/>
      <w:bookmarkEnd w:id="28"/>
      <w:bookmarkEnd w:id="2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2533"/>
      </w:tblGrid>
      <w:tr w:rsidR="0055535A" w:rsidTr="0055535A">
        <w:trPr>
          <w:trHeight w:val="253"/>
        </w:trPr>
        <w:tc>
          <w:tcPr>
            <w:tcW w:w="5397" w:type="dxa"/>
            <w:tcBorders>
              <w:top w:val="nil"/>
              <w:left w:val="nil"/>
              <w:bottom w:val="single" w:sz="4" w:space="0" w:color="auto"/>
              <w:right w:val="single" w:sz="4" w:space="0" w:color="auto"/>
            </w:tcBorders>
          </w:tcPr>
          <w:p w:rsidR="0055535A" w:rsidRDefault="0055535A">
            <w:pPr>
              <w:rPr>
                <w:b/>
                <w:sz w:val="20"/>
                <w:szCs w:val="20"/>
              </w:rPr>
            </w:pPr>
          </w:p>
        </w:tc>
        <w:tc>
          <w:tcPr>
            <w:tcW w:w="2533" w:type="dxa"/>
            <w:tcBorders>
              <w:top w:val="single" w:sz="4" w:space="0" w:color="auto"/>
              <w:left w:val="single" w:sz="4" w:space="0" w:color="auto"/>
              <w:bottom w:val="single" w:sz="4" w:space="0" w:color="auto"/>
              <w:right w:val="single" w:sz="4" w:space="0" w:color="auto"/>
            </w:tcBorders>
            <w:hideMark/>
          </w:tcPr>
          <w:p w:rsidR="0055535A" w:rsidRDefault="0055535A">
            <w:pPr>
              <w:rPr>
                <w:b/>
                <w:sz w:val="20"/>
                <w:szCs w:val="20"/>
              </w:rPr>
            </w:pPr>
            <w:r>
              <w:rPr>
                <w:b/>
                <w:sz w:val="20"/>
              </w:rPr>
              <w:t>Performance</w:t>
            </w:r>
          </w:p>
        </w:tc>
      </w:tr>
      <w:tr w:rsidR="0055535A" w:rsidTr="0055535A">
        <w:trPr>
          <w:trHeight w:val="272"/>
        </w:trPr>
        <w:tc>
          <w:tcPr>
            <w:tcW w:w="539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b/>
                <w:sz w:val="20"/>
                <w:szCs w:val="20"/>
              </w:rPr>
            </w:pPr>
            <w:r>
              <w:rPr>
                <w:b/>
                <w:sz w:val="20"/>
              </w:rPr>
              <w:t>Efficacité</w:t>
            </w:r>
          </w:p>
        </w:tc>
        <w:tc>
          <w:tcPr>
            <w:tcW w:w="253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b/>
                <w:sz w:val="20"/>
                <w:szCs w:val="20"/>
              </w:rPr>
            </w:pPr>
            <w:r>
              <w:rPr>
                <w:b/>
                <w:sz w:val="20"/>
                <w:szCs w:val="20"/>
              </w:rPr>
              <w:t>B</w:t>
            </w:r>
          </w:p>
        </w:tc>
      </w:tr>
    </w:tbl>
    <w:p w:rsidR="0055535A" w:rsidRDefault="0055535A" w:rsidP="0055535A">
      <w:pPr>
        <w:rPr>
          <w:sz w:val="20"/>
          <w:szCs w:val="20"/>
        </w:rPr>
      </w:pPr>
    </w:p>
    <w:p w:rsidR="0055535A" w:rsidRDefault="0055535A" w:rsidP="0055535A">
      <w:pPr>
        <w:pStyle w:val="Illustration"/>
        <w:suppressLineNumbers w:val="0"/>
        <w:spacing w:before="0" w:after="0"/>
        <w:jc w:val="both"/>
        <w:rPr>
          <w:i w:val="0"/>
          <w:sz w:val="20"/>
        </w:rPr>
      </w:pPr>
      <w:r>
        <w:rPr>
          <w:i w:val="0"/>
          <w:sz w:val="20"/>
        </w:rPr>
        <w:t xml:space="preserve">Au cours de l’exécution du programme cette année, les onze indicateurs d’outcome suivis ont presque tous atteint leur cible ou ont pour le moins affiché une tendance positive. </w:t>
      </w:r>
    </w:p>
    <w:p w:rsidR="0055535A" w:rsidRDefault="0055535A" w:rsidP="0055535A">
      <w:pPr>
        <w:jc w:val="both"/>
        <w:rPr>
          <w:sz w:val="20"/>
        </w:rPr>
      </w:pPr>
      <w:r>
        <w:rPr>
          <w:sz w:val="20"/>
        </w:rPr>
        <w:t xml:space="preserve">Le taux d’utilisation des consultations curatives qui est un indicateur clé d’accès aux services de santé a continué à évoluer favorablement depuis plusieurs années. Cette amélioration est largement imputable à l’introduction de la gratuité des soins, au FBP, et à la CAM. </w:t>
      </w:r>
    </w:p>
    <w:p w:rsidR="0055535A" w:rsidRDefault="0055535A" w:rsidP="0055535A">
      <w:pPr>
        <w:jc w:val="both"/>
        <w:rPr>
          <w:sz w:val="20"/>
        </w:rPr>
      </w:pPr>
      <w:r>
        <w:rPr>
          <w:sz w:val="20"/>
        </w:rPr>
        <w:t>La disponibilité générale du personnel qualifié dans les Formations Sanitaires s’est encore améliorée passant de 1,58 en 2015 à 1,8 en 2016.</w:t>
      </w:r>
      <w:r>
        <w:rPr>
          <w:sz w:val="20"/>
          <w:szCs w:val="20"/>
        </w:rPr>
        <w:t xml:space="preserve"> La proportion des CDS ayant les infirmiers A2 selon les normes est passée de 54% à 69,5%.</w:t>
      </w:r>
    </w:p>
    <w:p w:rsidR="0055535A" w:rsidRDefault="0055535A" w:rsidP="0055535A">
      <w:pPr>
        <w:jc w:val="both"/>
        <w:rPr>
          <w:sz w:val="20"/>
          <w:szCs w:val="20"/>
        </w:rPr>
      </w:pPr>
      <w:r>
        <w:rPr>
          <w:sz w:val="20"/>
          <w:szCs w:val="20"/>
        </w:rPr>
        <w:t xml:space="preserve">Le taux d'utilisation de la Planification Familiale (PF) et la proportion de Districts Sanitaires (DS) ayant le nombre de médecins requis selon les normes (n=5) se sont également améliorés. </w:t>
      </w:r>
    </w:p>
    <w:p w:rsidR="0055535A" w:rsidRDefault="0055535A" w:rsidP="0055535A">
      <w:pPr>
        <w:jc w:val="both"/>
        <w:rPr>
          <w:sz w:val="20"/>
          <w:szCs w:val="20"/>
        </w:rPr>
      </w:pPr>
      <w:r>
        <w:rPr>
          <w:sz w:val="20"/>
          <w:szCs w:val="20"/>
        </w:rPr>
        <w:t>Même si certains indicateurs n’ont pas atteint la cible prévue, le niveau de performance qu’ils ont atteint reste très appréciable. Ainsi, la proportion d'accouchements assistés par un personnel qualifié est passée de 76,3% à 77,9% en 2016 ; la cible finale étant de 80%.</w:t>
      </w:r>
    </w:p>
    <w:p w:rsidR="0055535A" w:rsidRDefault="0055535A" w:rsidP="0055535A">
      <w:pPr>
        <w:jc w:val="both"/>
        <w:rPr>
          <w:sz w:val="20"/>
          <w:szCs w:val="20"/>
        </w:rPr>
      </w:pPr>
      <w:r>
        <w:rPr>
          <w:sz w:val="20"/>
          <w:szCs w:val="20"/>
        </w:rPr>
        <w:t xml:space="preserve">Malgré ces améliorations quantitatives des indicateurs d’outcome, qui plus est dans un contexte de crise, la qualité demeure quant à elle faible si on interprète certains résultats. Par exemple, on observe que la </w:t>
      </w:r>
      <w:r>
        <w:rPr>
          <w:rFonts w:cs="Arial"/>
          <w:sz w:val="20"/>
          <w:szCs w:val="20"/>
        </w:rPr>
        <w:t xml:space="preserve">proportion du budget national du MSPLS allouée aux DS à travers la CAM, le FBP et les subventions (DS et Hôpital de district) est passée de 36% en 2015 à 39% en 2016. Dans la réalité, l’effectivité de cette allocation est grevée d’un certain biais car ces allocations restent aléatoires et arrivent souvent tardivement. Aussi </w:t>
      </w:r>
      <w:r>
        <w:rPr>
          <w:sz w:val="20"/>
          <w:szCs w:val="20"/>
        </w:rPr>
        <w:t>les stratégies d’amélioration de la qualité des prestations envisagées n’ont pas été exécutées comme souhaitées, du fait de la suspension de certains financements. Il s’agit entre autres de :</w:t>
      </w:r>
    </w:p>
    <w:p w:rsidR="0055535A" w:rsidRDefault="0055535A" w:rsidP="0055535A">
      <w:pPr>
        <w:pStyle w:val="Paragraphedeliste"/>
        <w:widowControl w:val="0"/>
        <w:numPr>
          <w:ilvl w:val="0"/>
          <w:numId w:val="17"/>
        </w:numPr>
        <w:suppressAutoHyphens/>
        <w:spacing w:after="0" w:line="240" w:lineRule="auto"/>
        <w:jc w:val="both"/>
        <w:rPr>
          <w:rFonts w:ascii="Arial" w:hAnsi="Arial"/>
          <w:sz w:val="20"/>
          <w:lang w:val="fr-FR"/>
        </w:rPr>
      </w:pPr>
      <w:r>
        <w:rPr>
          <w:rFonts w:ascii="Arial" w:hAnsi="Arial"/>
          <w:sz w:val="20"/>
          <w:lang w:val="fr-FR"/>
        </w:rPr>
        <w:t>l’appui à la formation de personnel infirmier compétent à travers un nouveau programme de formation basé sur les compétences  dans le cadre de la réforme des formations paramédicales,</w:t>
      </w:r>
    </w:p>
    <w:p w:rsidR="0055535A" w:rsidRDefault="0055535A" w:rsidP="0055535A">
      <w:pPr>
        <w:pStyle w:val="Paragraphedeliste"/>
        <w:widowControl w:val="0"/>
        <w:numPr>
          <w:ilvl w:val="0"/>
          <w:numId w:val="17"/>
        </w:numPr>
        <w:suppressAutoHyphens/>
        <w:spacing w:after="0" w:line="240" w:lineRule="auto"/>
        <w:jc w:val="both"/>
        <w:rPr>
          <w:rFonts w:ascii="Arial" w:hAnsi="Arial"/>
          <w:sz w:val="20"/>
          <w:lang w:val="fr-FR"/>
        </w:rPr>
      </w:pPr>
      <w:r>
        <w:rPr>
          <w:rFonts w:ascii="Arial" w:hAnsi="Arial"/>
          <w:sz w:val="20"/>
          <w:lang w:val="fr-FR"/>
        </w:rPr>
        <w:t>la mise à l’échelle de la SPT, la chirurgie de district, la décentralisation de la prise en charge des maladies chroniques (épilepsie, diabète) et les protocoles cliniques,</w:t>
      </w:r>
    </w:p>
    <w:p w:rsidR="0055535A" w:rsidRDefault="0055535A" w:rsidP="0055535A">
      <w:pPr>
        <w:pStyle w:val="Paragraphedeliste"/>
        <w:widowControl w:val="0"/>
        <w:numPr>
          <w:ilvl w:val="0"/>
          <w:numId w:val="17"/>
        </w:numPr>
        <w:suppressAutoHyphens/>
        <w:spacing w:after="0" w:line="240" w:lineRule="auto"/>
        <w:jc w:val="both"/>
        <w:rPr>
          <w:rFonts w:ascii="Arial" w:hAnsi="Arial"/>
          <w:sz w:val="20"/>
          <w:lang w:val="fr-FR"/>
        </w:rPr>
      </w:pPr>
      <w:r>
        <w:rPr>
          <w:rFonts w:ascii="Arial" w:hAnsi="Arial"/>
          <w:sz w:val="20"/>
          <w:lang w:val="fr-FR"/>
        </w:rPr>
        <w:t>la mise en œuvre de la stratégie de formation du personnel de santé couvrant la formation initiale, la formation des spécialistes et la formation continue,</w:t>
      </w:r>
    </w:p>
    <w:p w:rsidR="0055535A" w:rsidRDefault="0055535A" w:rsidP="0055535A">
      <w:pPr>
        <w:pStyle w:val="Paragraphedeliste"/>
        <w:widowControl w:val="0"/>
        <w:numPr>
          <w:ilvl w:val="0"/>
          <w:numId w:val="17"/>
        </w:numPr>
        <w:suppressAutoHyphens/>
        <w:spacing w:after="0" w:line="240" w:lineRule="auto"/>
        <w:jc w:val="both"/>
        <w:rPr>
          <w:rFonts w:ascii="Arial" w:hAnsi="Arial"/>
          <w:sz w:val="20"/>
          <w:lang w:val="fr-FR"/>
        </w:rPr>
      </w:pPr>
      <w:r>
        <w:rPr>
          <w:rFonts w:ascii="Arial" w:hAnsi="Arial"/>
          <w:sz w:val="20"/>
          <w:lang w:val="fr-FR"/>
        </w:rPr>
        <w:t>la dotation des structures sanitaires en personnel qualifié sur base des normes en ressources humaines et une description des postes et profils du personnel,</w:t>
      </w:r>
    </w:p>
    <w:p w:rsidR="0055535A" w:rsidRDefault="0055535A" w:rsidP="0055535A">
      <w:pPr>
        <w:pStyle w:val="Paragraphedeliste"/>
        <w:widowControl w:val="0"/>
        <w:numPr>
          <w:ilvl w:val="0"/>
          <w:numId w:val="17"/>
        </w:numPr>
        <w:suppressAutoHyphens/>
        <w:spacing w:after="0" w:line="240" w:lineRule="auto"/>
        <w:jc w:val="both"/>
        <w:rPr>
          <w:sz w:val="20"/>
          <w:szCs w:val="20"/>
        </w:rPr>
      </w:pPr>
      <w:r>
        <w:rPr>
          <w:rFonts w:ascii="Arial" w:hAnsi="Arial"/>
          <w:sz w:val="20"/>
          <w:lang w:val="fr-FR"/>
        </w:rPr>
        <w:t xml:space="preserve">l’appui à la mise en place d’une stratégie de financement du secteur prenant en compte le FBP, la CAM, les mutuelles de santé etc… </w:t>
      </w:r>
      <w:r>
        <w:rPr>
          <w:rFonts w:ascii="Arial" w:hAnsi="Arial" w:cs="Arial"/>
          <w:sz w:val="20"/>
          <w:szCs w:val="20"/>
          <w:lang w:val="fr-FR"/>
        </w:rPr>
        <w:t xml:space="preserve">en </w:t>
      </w:r>
      <w:r>
        <w:rPr>
          <w:rFonts w:ascii="Arial" w:hAnsi="Arial"/>
          <w:sz w:val="20"/>
          <w:lang w:val="fr-FR"/>
        </w:rPr>
        <w:t>vue d’atteindre la couverture universelle.</w:t>
      </w:r>
    </w:p>
    <w:p w:rsidR="0055535A" w:rsidRDefault="0055535A" w:rsidP="0055535A">
      <w:pPr>
        <w:pStyle w:val="Titre3"/>
        <w:numPr>
          <w:ilvl w:val="2"/>
          <w:numId w:val="16"/>
        </w:numPr>
        <w:rPr>
          <w:sz w:val="24"/>
        </w:rPr>
      </w:pPr>
      <w:bookmarkStart w:id="30" w:name="_Toc475972142"/>
      <w:bookmarkStart w:id="31" w:name="_Toc411938795"/>
      <w:bookmarkStart w:id="32" w:name="_Toc370814266"/>
      <w:bookmarkStart w:id="33" w:name="_Toc370814190"/>
      <w:r>
        <w:t>Efficience</w:t>
      </w:r>
      <w:bookmarkEnd w:id="30"/>
      <w:bookmarkEnd w:id="31"/>
      <w:bookmarkEnd w:id="32"/>
      <w:bookmarkEnd w:id="33"/>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2533"/>
      </w:tblGrid>
      <w:tr w:rsidR="0055535A" w:rsidTr="0055535A">
        <w:trPr>
          <w:trHeight w:val="253"/>
        </w:trPr>
        <w:tc>
          <w:tcPr>
            <w:tcW w:w="5397" w:type="dxa"/>
            <w:tcBorders>
              <w:top w:val="nil"/>
              <w:left w:val="nil"/>
              <w:bottom w:val="single" w:sz="4" w:space="0" w:color="auto"/>
              <w:right w:val="single" w:sz="4" w:space="0" w:color="auto"/>
            </w:tcBorders>
          </w:tcPr>
          <w:p w:rsidR="0055535A" w:rsidRDefault="0055535A">
            <w:pPr>
              <w:rPr>
                <w:b/>
                <w:sz w:val="20"/>
                <w:szCs w:val="20"/>
              </w:rPr>
            </w:pPr>
          </w:p>
        </w:tc>
        <w:tc>
          <w:tcPr>
            <w:tcW w:w="2533" w:type="dxa"/>
            <w:tcBorders>
              <w:top w:val="single" w:sz="4" w:space="0" w:color="auto"/>
              <w:left w:val="single" w:sz="4" w:space="0" w:color="auto"/>
              <w:bottom w:val="single" w:sz="4" w:space="0" w:color="auto"/>
              <w:right w:val="single" w:sz="4" w:space="0" w:color="auto"/>
            </w:tcBorders>
            <w:hideMark/>
          </w:tcPr>
          <w:p w:rsidR="0055535A" w:rsidRDefault="0055535A">
            <w:pPr>
              <w:rPr>
                <w:b/>
                <w:sz w:val="20"/>
                <w:szCs w:val="20"/>
              </w:rPr>
            </w:pPr>
            <w:r>
              <w:rPr>
                <w:b/>
                <w:sz w:val="20"/>
              </w:rPr>
              <w:t>Performance</w:t>
            </w:r>
          </w:p>
        </w:tc>
      </w:tr>
      <w:tr w:rsidR="0055535A" w:rsidTr="0055535A">
        <w:trPr>
          <w:trHeight w:val="272"/>
        </w:trPr>
        <w:tc>
          <w:tcPr>
            <w:tcW w:w="539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b/>
                <w:sz w:val="20"/>
                <w:szCs w:val="20"/>
              </w:rPr>
            </w:pPr>
            <w:r>
              <w:rPr>
                <w:b/>
                <w:sz w:val="20"/>
              </w:rPr>
              <w:t>Efficience</w:t>
            </w:r>
          </w:p>
        </w:tc>
        <w:tc>
          <w:tcPr>
            <w:tcW w:w="253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b/>
                <w:sz w:val="20"/>
                <w:szCs w:val="20"/>
              </w:rPr>
            </w:pPr>
            <w:r>
              <w:rPr>
                <w:b/>
                <w:sz w:val="20"/>
                <w:szCs w:val="20"/>
              </w:rPr>
              <w:t>B</w:t>
            </w:r>
          </w:p>
        </w:tc>
      </w:tr>
    </w:tbl>
    <w:p w:rsidR="0055535A" w:rsidRDefault="0055535A" w:rsidP="0055535A">
      <w:pPr>
        <w:jc w:val="both"/>
      </w:pPr>
      <w:bookmarkStart w:id="34" w:name="_Toc370814267"/>
      <w:bookmarkStart w:id="35" w:name="_Toc370814191"/>
    </w:p>
    <w:p w:rsidR="0055535A" w:rsidRDefault="0055535A" w:rsidP="0055535A">
      <w:pPr>
        <w:widowControl/>
        <w:suppressAutoHyphens w:val="0"/>
        <w:jc w:val="both"/>
        <w:rPr>
          <w:rFonts w:eastAsia="Calibri" w:cs="Arial"/>
          <w:kern w:val="0"/>
          <w:sz w:val="20"/>
          <w:szCs w:val="20"/>
          <w:lang w:eastAsia="en-US"/>
        </w:rPr>
      </w:pPr>
      <w:r>
        <w:rPr>
          <w:rFonts w:eastAsia="Calibri" w:cs="Arial"/>
          <w:kern w:val="0"/>
          <w:sz w:val="20"/>
          <w:szCs w:val="20"/>
          <w:lang w:eastAsia="en-US"/>
        </w:rPr>
        <w:t>L’année 2016 a vu la clôture des engagements du PAISS 1-3 et la poursuite des activités des autres volets (Volets 4, 5 et PC). Le taux d’exécution des volets 1-3 a été de 99%. Ce taux de réalisation indique la mesure avec laquelle les ressources du PAISS ont été transformées en résultats.</w:t>
      </w:r>
    </w:p>
    <w:p w:rsidR="0055535A" w:rsidRDefault="0055535A" w:rsidP="0055535A">
      <w:pPr>
        <w:widowControl/>
        <w:suppressAutoHyphens w:val="0"/>
        <w:jc w:val="both"/>
        <w:rPr>
          <w:rFonts w:eastAsia="Calibri" w:cs="Arial"/>
          <w:kern w:val="0"/>
          <w:sz w:val="20"/>
          <w:szCs w:val="20"/>
          <w:lang w:eastAsia="en-US"/>
        </w:rPr>
      </w:pPr>
      <w:r>
        <w:rPr>
          <w:rFonts w:eastAsia="Calibri" w:cs="Arial"/>
          <w:kern w:val="0"/>
          <w:sz w:val="20"/>
          <w:szCs w:val="20"/>
          <w:lang w:eastAsia="en-US"/>
        </w:rPr>
        <w:t>Les ressources transformées en équipements fournis, en formations réalisées, dans l’informatisation des hôpitaux, en réhabilitation des hôpitaux, en PBF et en appui au fonctionnement des FOSA ont participé à l’amélioration de la qualité de soins.</w:t>
      </w:r>
    </w:p>
    <w:p w:rsidR="0055535A" w:rsidRDefault="0055535A" w:rsidP="0055535A">
      <w:pPr>
        <w:widowControl/>
        <w:suppressAutoHyphens w:val="0"/>
        <w:jc w:val="both"/>
        <w:rPr>
          <w:rFonts w:eastAsia="Calibri" w:cs="Arial"/>
          <w:kern w:val="0"/>
          <w:sz w:val="20"/>
          <w:szCs w:val="20"/>
          <w:lang w:eastAsia="en-US"/>
        </w:rPr>
      </w:pPr>
    </w:p>
    <w:p w:rsidR="0055535A" w:rsidRDefault="0055535A" w:rsidP="0055535A">
      <w:pPr>
        <w:widowControl/>
        <w:suppressAutoHyphens w:val="0"/>
        <w:jc w:val="both"/>
        <w:rPr>
          <w:rFonts w:eastAsia="Calibri" w:cs="Arial"/>
          <w:kern w:val="0"/>
          <w:sz w:val="20"/>
          <w:szCs w:val="20"/>
          <w:lang w:eastAsia="en-US"/>
        </w:rPr>
      </w:pPr>
      <w:r>
        <w:rPr>
          <w:rFonts w:eastAsia="Calibri" w:cs="Arial"/>
          <w:kern w:val="0"/>
          <w:sz w:val="20"/>
          <w:szCs w:val="20"/>
          <w:lang w:eastAsia="en-US"/>
        </w:rPr>
        <w:t>Suite à la suspension des dotations budgétaires initialement destinées à l’appui du niveau central (</w:t>
      </w:r>
      <w:r>
        <w:rPr>
          <w:rFonts w:eastAsia="Calibri" w:cs="Arial"/>
          <w:kern w:val="0"/>
          <w:sz w:val="20"/>
          <w:szCs w:val="20"/>
          <w:lang w:eastAsia="en-US"/>
        </w:rPr>
        <w:sym w:font="Symbol" w:char="F0B1"/>
      </w:r>
      <w:r>
        <w:rPr>
          <w:rFonts w:eastAsia="Calibri" w:cs="Arial"/>
          <w:kern w:val="0"/>
          <w:sz w:val="20"/>
          <w:szCs w:val="20"/>
          <w:lang w:eastAsia="en-US"/>
        </w:rPr>
        <w:t>2,5 millions d’euros), le PAISS s’est activement mobilisé à la recherche des financements complémentaires. Ainsi, le financement obtenu dans le cadre du PASS UE (18 000 0000 Euros) pour le FBP a permis au PAISS de garder son cap sans trop de restrictions.</w:t>
      </w:r>
    </w:p>
    <w:p w:rsidR="0055535A" w:rsidRDefault="0055535A" w:rsidP="0055535A">
      <w:pPr>
        <w:widowControl/>
        <w:suppressAutoHyphens w:val="0"/>
        <w:jc w:val="both"/>
        <w:rPr>
          <w:rFonts w:eastAsia="Calibri" w:cs="Arial"/>
          <w:kern w:val="0"/>
          <w:sz w:val="20"/>
          <w:szCs w:val="20"/>
          <w:lang w:eastAsia="en-US"/>
        </w:rPr>
      </w:pPr>
      <w:r>
        <w:rPr>
          <w:rFonts w:eastAsia="Calibri" w:cs="Arial"/>
          <w:kern w:val="0"/>
          <w:sz w:val="20"/>
          <w:szCs w:val="20"/>
          <w:lang w:eastAsia="en-US"/>
        </w:rPr>
        <w:t xml:space="preserve">En matière de ressources humaines affectées au programme, les nouvelles ont été recrutées à temps et le PAISS a procédé à un transfert réussi de compétences entre ses ATI et ses ATNs. Ainsi, le passage de l’ATI responsable du volet II au projet PASS UE a amené le programme à faire appel aux compétences nationales. De même, la mutualisation des ressources entre volets pour les services supports (une même équipe d’appui de gestion)  a permis de réaliser des économies d’échelles. C’est ainsi que le suivi des marchés du Volet 1-3 a été supervisé par les ingénieurs du volet 5 ce qui a permis d’éviter les retards dans l’exécution des travaux. </w:t>
      </w:r>
    </w:p>
    <w:p w:rsidR="0055535A" w:rsidRDefault="0055535A" w:rsidP="0055535A">
      <w:pPr>
        <w:widowControl/>
        <w:suppressAutoHyphens w:val="0"/>
        <w:jc w:val="both"/>
        <w:rPr>
          <w:rFonts w:eastAsia="Calibri" w:cs="Arial"/>
          <w:kern w:val="0"/>
          <w:sz w:val="20"/>
          <w:szCs w:val="20"/>
          <w:lang w:eastAsia="en-US"/>
        </w:rPr>
      </w:pPr>
      <w:r>
        <w:rPr>
          <w:rFonts w:eastAsia="Calibri" w:cs="Arial"/>
          <w:kern w:val="0"/>
          <w:sz w:val="20"/>
          <w:szCs w:val="20"/>
          <w:lang w:eastAsia="en-US"/>
        </w:rPr>
        <w:t xml:space="preserve">Malgré l’ancrage institutionnel moins adapté au mode Régie dans lequel les projets CTB se sont retrouvés à la suite du nouveau cadre administratif élaboré suite à la crise, le PAISS a continué à rechercher des synergies avec les autres partenaires (Measure-Evaluation, Banque mondiale, Médecins Sans Vacances…) pour mener à bien certaines activités. </w:t>
      </w:r>
    </w:p>
    <w:p w:rsidR="0055535A" w:rsidRDefault="0055535A" w:rsidP="0055535A">
      <w:pPr>
        <w:widowControl/>
        <w:suppressAutoHyphens w:val="0"/>
        <w:jc w:val="both"/>
        <w:rPr>
          <w:rFonts w:eastAsia="Calibri" w:cs="Arial"/>
          <w:kern w:val="0"/>
          <w:sz w:val="20"/>
          <w:szCs w:val="20"/>
          <w:lang w:eastAsia="en-US"/>
        </w:rPr>
      </w:pPr>
    </w:p>
    <w:p w:rsidR="0055535A" w:rsidRDefault="0055535A" w:rsidP="0055535A">
      <w:pPr>
        <w:widowControl/>
        <w:suppressAutoHyphens w:val="0"/>
        <w:jc w:val="both"/>
        <w:rPr>
          <w:rFonts w:eastAsia="Calibri" w:cs="Arial"/>
          <w:kern w:val="0"/>
          <w:sz w:val="20"/>
          <w:szCs w:val="20"/>
          <w:lang w:eastAsia="en-US"/>
        </w:rPr>
      </w:pPr>
      <w:r>
        <w:rPr>
          <w:rFonts w:eastAsia="Calibri" w:cs="Arial"/>
          <w:kern w:val="0"/>
          <w:sz w:val="20"/>
          <w:szCs w:val="20"/>
          <w:lang w:eastAsia="en-US"/>
        </w:rPr>
        <w:t xml:space="preserve">En terme de passation des marchés, la mise à échelle de l’informatisation a été engagée via un contrat cadre qui permet une mobilisation rapide des experts. Le processus de passation des marchés du volet V a abouti à la signature des contrats d’exécution des travaux (Adduction d’eau potable, Fourniture et installation de systèmes photovoltaïques dans les CDS des provinces Kirundo et Muramvya, Etudes techniques pour Extension hôpital de Kiganda). </w:t>
      </w:r>
    </w:p>
    <w:p w:rsidR="0055535A" w:rsidRDefault="0055535A" w:rsidP="0055535A">
      <w:pPr>
        <w:widowControl/>
        <w:suppressAutoHyphens w:val="0"/>
        <w:jc w:val="both"/>
        <w:rPr>
          <w:rFonts w:eastAsia="Calibri" w:cs="Arial"/>
          <w:kern w:val="0"/>
          <w:sz w:val="20"/>
          <w:szCs w:val="20"/>
          <w:lang w:eastAsia="en-US"/>
        </w:rPr>
      </w:pPr>
      <w:r>
        <w:rPr>
          <w:rFonts w:eastAsia="Calibri" w:cs="Arial"/>
          <w:kern w:val="0"/>
          <w:sz w:val="20"/>
          <w:szCs w:val="20"/>
          <w:lang w:eastAsia="en-US"/>
        </w:rPr>
        <w:t>Cependant l’exécution des activités du volet IV SNIS et du Volet V Infra n’a pas manqué d’aléas parmi lesquels on peut citer : la relance des marchés publics qui étaient passés en cogestion pour les passer en régie suite à la suspension de la cogestion, le retard des ANO, l’annulation de certaines mobilisations d’expert internationaux pour la maintenance des équipements médicaux et le dimensionnement des sources d’énergies alternatives, le départ du personnel formé, le manque d’intérêt /démotivation de certains partenaires du MSPLS pour nos activités…</w:t>
      </w:r>
    </w:p>
    <w:p w:rsidR="0055535A" w:rsidRDefault="0055535A" w:rsidP="0055535A">
      <w:pPr>
        <w:widowControl/>
        <w:suppressAutoHyphens w:val="0"/>
        <w:jc w:val="both"/>
        <w:rPr>
          <w:rFonts w:eastAsia="Calibri" w:cs="Arial"/>
          <w:kern w:val="0"/>
          <w:sz w:val="20"/>
          <w:szCs w:val="20"/>
          <w:lang w:eastAsia="en-US"/>
        </w:rPr>
      </w:pPr>
    </w:p>
    <w:p w:rsidR="0055535A" w:rsidRDefault="0055535A" w:rsidP="0055535A">
      <w:pPr>
        <w:widowControl/>
        <w:suppressAutoHyphens w:val="0"/>
        <w:jc w:val="both"/>
        <w:rPr>
          <w:rFonts w:eastAsia="Calibri" w:cs="Arial"/>
          <w:kern w:val="0"/>
          <w:sz w:val="20"/>
          <w:szCs w:val="20"/>
          <w:lang w:eastAsia="en-US"/>
        </w:rPr>
      </w:pPr>
      <w:r>
        <w:rPr>
          <w:rFonts w:eastAsia="Calibri" w:cs="Arial"/>
          <w:kern w:val="0"/>
          <w:sz w:val="20"/>
          <w:szCs w:val="20"/>
          <w:lang w:eastAsia="en-US"/>
        </w:rPr>
        <w:t>Malgré la coupe budgétaire de 20% (volets confondus) consécutive à la suspension des activités d’appui institutionnel (462.897 EUR sur le PAISS-PC, 266.393 EUR du Volet 4 et 1.919.141 EUR sur levolet 5), plus que 80% des activités, menées presque entièrement au niveau opérationnel se sont poursuivies. On peut dire que l’équipe du PAISS a réussi à s’organiser dans ces conditions et à maintenir le cap malgré ce facteur externe, on ne peut plus contraignant.</w:t>
      </w:r>
    </w:p>
    <w:p w:rsidR="0055535A" w:rsidRDefault="0055535A" w:rsidP="0055535A">
      <w:pPr>
        <w:widowControl/>
        <w:suppressAutoHyphens w:val="0"/>
        <w:jc w:val="both"/>
        <w:rPr>
          <w:rFonts w:eastAsia="Calibri" w:cs="Arial"/>
          <w:kern w:val="0"/>
          <w:sz w:val="20"/>
          <w:szCs w:val="20"/>
          <w:lang w:eastAsia="en-US"/>
        </w:rPr>
      </w:pPr>
    </w:p>
    <w:p w:rsidR="0055535A" w:rsidRDefault="0055535A" w:rsidP="0055535A">
      <w:pPr>
        <w:widowControl/>
        <w:suppressAutoHyphens w:val="0"/>
        <w:jc w:val="both"/>
      </w:pPr>
      <w:r>
        <w:rPr>
          <w:rFonts w:eastAsia="Calibri" w:cs="Arial"/>
          <w:kern w:val="0"/>
          <w:sz w:val="20"/>
          <w:szCs w:val="20"/>
          <w:lang w:eastAsia="en-US"/>
        </w:rPr>
        <w:t>Les taux d’exécution rapportés portent ainsi un biais car leurs calculs incluent les montants suspendus. Le taux réel d’exécution du PC serait donc de 90% au lieu de 71% ; celui du volet IV de 54% au lieu de 53% et celui du volet 5, très affecté par cette suspension, serait de 13% au lieu de 10%.</w:t>
      </w:r>
    </w:p>
    <w:p w:rsidR="0055535A" w:rsidRDefault="0055535A" w:rsidP="0055535A">
      <w:pPr>
        <w:pStyle w:val="Titre3"/>
        <w:numPr>
          <w:ilvl w:val="2"/>
          <w:numId w:val="16"/>
        </w:numPr>
      </w:pPr>
      <w:bookmarkStart w:id="36" w:name="_Toc475972143"/>
      <w:bookmarkStart w:id="37" w:name="_Toc411938796"/>
      <w:r>
        <w:t>Durabilité potentielle</w:t>
      </w:r>
      <w:bookmarkEnd w:id="34"/>
      <w:bookmarkEnd w:id="35"/>
      <w:bookmarkEnd w:id="36"/>
      <w:bookmarkEnd w:id="3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2533"/>
      </w:tblGrid>
      <w:tr w:rsidR="0055535A" w:rsidTr="0055535A">
        <w:trPr>
          <w:trHeight w:val="253"/>
        </w:trPr>
        <w:tc>
          <w:tcPr>
            <w:tcW w:w="5397" w:type="dxa"/>
            <w:tcBorders>
              <w:top w:val="nil"/>
              <w:left w:val="nil"/>
              <w:bottom w:val="single" w:sz="4" w:space="0" w:color="auto"/>
              <w:right w:val="single" w:sz="4" w:space="0" w:color="auto"/>
            </w:tcBorders>
          </w:tcPr>
          <w:p w:rsidR="0055535A" w:rsidRDefault="0055535A">
            <w:pPr>
              <w:rPr>
                <w:b/>
                <w:sz w:val="20"/>
                <w:szCs w:val="20"/>
              </w:rPr>
            </w:pPr>
          </w:p>
        </w:tc>
        <w:tc>
          <w:tcPr>
            <w:tcW w:w="2533" w:type="dxa"/>
            <w:tcBorders>
              <w:top w:val="single" w:sz="4" w:space="0" w:color="auto"/>
              <w:left w:val="single" w:sz="4" w:space="0" w:color="auto"/>
              <w:bottom w:val="single" w:sz="4" w:space="0" w:color="auto"/>
              <w:right w:val="single" w:sz="4" w:space="0" w:color="auto"/>
            </w:tcBorders>
            <w:hideMark/>
          </w:tcPr>
          <w:p w:rsidR="0055535A" w:rsidRDefault="0055535A">
            <w:pPr>
              <w:rPr>
                <w:b/>
                <w:sz w:val="20"/>
                <w:szCs w:val="20"/>
              </w:rPr>
            </w:pPr>
            <w:r>
              <w:rPr>
                <w:b/>
                <w:sz w:val="20"/>
              </w:rPr>
              <w:t>Performance</w:t>
            </w:r>
          </w:p>
        </w:tc>
      </w:tr>
      <w:tr w:rsidR="0055535A" w:rsidTr="0055535A">
        <w:trPr>
          <w:trHeight w:val="272"/>
        </w:trPr>
        <w:tc>
          <w:tcPr>
            <w:tcW w:w="539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b/>
                <w:sz w:val="20"/>
                <w:szCs w:val="20"/>
                <w:highlight w:val="yellow"/>
              </w:rPr>
            </w:pPr>
            <w:r>
              <w:rPr>
                <w:b/>
                <w:sz w:val="20"/>
              </w:rPr>
              <w:t>Durabilité potentielle</w:t>
            </w:r>
          </w:p>
        </w:tc>
        <w:tc>
          <w:tcPr>
            <w:tcW w:w="253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b/>
                <w:sz w:val="20"/>
                <w:szCs w:val="20"/>
              </w:rPr>
            </w:pPr>
            <w:r>
              <w:rPr>
                <w:b/>
                <w:sz w:val="20"/>
                <w:szCs w:val="20"/>
              </w:rPr>
              <w:t>C</w:t>
            </w:r>
          </w:p>
        </w:tc>
      </w:tr>
    </w:tbl>
    <w:p w:rsidR="0055535A" w:rsidRDefault="0055535A" w:rsidP="0055535A">
      <w:pPr>
        <w:jc w:val="both"/>
        <w:rPr>
          <w:sz w:val="20"/>
          <w:szCs w:val="20"/>
        </w:rPr>
      </w:pPr>
    </w:p>
    <w:p w:rsidR="0055535A" w:rsidRDefault="0055535A" w:rsidP="0055535A">
      <w:pPr>
        <w:widowControl/>
        <w:suppressAutoHyphens w:val="0"/>
        <w:jc w:val="both"/>
        <w:rPr>
          <w:rFonts w:cs="Arial"/>
          <w:kern w:val="0"/>
          <w:sz w:val="20"/>
          <w:szCs w:val="20"/>
          <w:lang w:eastAsia="fr-BE"/>
        </w:rPr>
      </w:pPr>
      <w:r>
        <w:rPr>
          <w:rFonts w:cs="Arial"/>
          <w:kern w:val="0"/>
          <w:sz w:val="20"/>
          <w:szCs w:val="20"/>
          <w:lang w:eastAsia="fr-BE"/>
        </w:rPr>
        <w:t xml:space="preserve">Le Burundi n’est finalement pas sorti de la crise amorcée depuis avril 2015. La durabilité financière/économique est restée problématique en 2016. La crise a en effet généré un lot de facteurs externes qui entrave la pérennité des changements enclenchés : Il s’agit de facteurs sécuritaires, économiques, sociaux, politiques, de retrait ou diminution de l’action des autres PTF. </w:t>
      </w:r>
    </w:p>
    <w:p w:rsidR="0055535A" w:rsidRDefault="0055535A" w:rsidP="0055535A">
      <w:pPr>
        <w:widowControl/>
        <w:suppressAutoHyphens w:val="0"/>
        <w:jc w:val="both"/>
        <w:rPr>
          <w:rFonts w:cs="Arial"/>
          <w:kern w:val="0"/>
          <w:sz w:val="20"/>
          <w:szCs w:val="20"/>
          <w:lang w:val="fr-BE" w:eastAsia="fr-BE"/>
        </w:rPr>
      </w:pPr>
      <w:r>
        <w:rPr>
          <w:rFonts w:cs="Arial"/>
          <w:kern w:val="0"/>
          <w:sz w:val="20"/>
          <w:szCs w:val="20"/>
          <w:lang w:eastAsia="fr-BE"/>
        </w:rPr>
        <w:t>La suspension de l’appui institutionnel avec la limitation de l’ancrage du PAISS au niveau central a indiscutablement entrainé un risque accru sur la durabilité de l’intervention.</w:t>
      </w:r>
    </w:p>
    <w:p w:rsidR="0055535A" w:rsidRDefault="0055535A" w:rsidP="0055535A">
      <w:pPr>
        <w:widowControl/>
        <w:suppressAutoHyphens w:val="0"/>
        <w:ind w:left="540"/>
        <w:jc w:val="both"/>
        <w:rPr>
          <w:rFonts w:cs="Arial"/>
          <w:kern w:val="0"/>
          <w:sz w:val="20"/>
          <w:szCs w:val="20"/>
          <w:lang w:val="fr-BE" w:eastAsia="fr-BE"/>
        </w:rPr>
      </w:pPr>
    </w:p>
    <w:p w:rsidR="0055535A" w:rsidRDefault="0055535A" w:rsidP="0055535A">
      <w:pPr>
        <w:widowControl/>
        <w:suppressAutoHyphens w:val="0"/>
        <w:jc w:val="both"/>
        <w:rPr>
          <w:rFonts w:cs="Arial"/>
          <w:kern w:val="0"/>
          <w:sz w:val="20"/>
          <w:szCs w:val="20"/>
          <w:lang w:eastAsia="fr-BE"/>
        </w:rPr>
      </w:pPr>
      <w:r>
        <w:rPr>
          <w:rFonts w:cs="Arial"/>
          <w:kern w:val="0"/>
          <w:sz w:val="20"/>
          <w:szCs w:val="20"/>
          <w:lang w:eastAsia="fr-BE"/>
        </w:rPr>
        <w:t>Dans ce cadre, on peut analyser la durabilité sous 4 angles :</w:t>
      </w:r>
    </w:p>
    <w:p w:rsidR="0055535A" w:rsidRDefault="0055535A" w:rsidP="0055535A">
      <w:pPr>
        <w:widowControl/>
        <w:suppressAutoHyphens w:val="0"/>
        <w:jc w:val="both"/>
        <w:rPr>
          <w:rFonts w:cs="Arial"/>
          <w:kern w:val="0"/>
          <w:sz w:val="20"/>
          <w:szCs w:val="20"/>
          <w:lang w:eastAsia="fr-BE"/>
        </w:rPr>
      </w:pPr>
    </w:p>
    <w:p w:rsidR="0055535A" w:rsidRDefault="0055535A" w:rsidP="0055535A">
      <w:pPr>
        <w:widowControl/>
        <w:suppressAutoHyphens w:val="0"/>
        <w:jc w:val="both"/>
        <w:rPr>
          <w:rFonts w:cs="Arial"/>
          <w:kern w:val="0"/>
          <w:sz w:val="20"/>
          <w:szCs w:val="20"/>
          <w:lang w:val="fr-BE" w:eastAsia="fr-BE"/>
        </w:rPr>
      </w:pPr>
      <w:r>
        <w:rPr>
          <w:rFonts w:cs="Arial"/>
          <w:kern w:val="0"/>
          <w:sz w:val="20"/>
          <w:szCs w:val="20"/>
          <w:u w:val="single"/>
          <w:lang w:val="fr-BE" w:eastAsia="fr-BE"/>
        </w:rPr>
        <w:t>Angle contextuel :</w:t>
      </w:r>
    </w:p>
    <w:p w:rsidR="0055535A" w:rsidRDefault="0055535A" w:rsidP="0055535A">
      <w:pPr>
        <w:pStyle w:val="Paragraphedeliste"/>
        <w:numPr>
          <w:ilvl w:val="0"/>
          <w:numId w:val="18"/>
        </w:numPr>
        <w:snapToGrid/>
        <w:ind w:left="360"/>
        <w:jc w:val="both"/>
        <w:textAlignment w:val="center"/>
        <w:rPr>
          <w:rFonts w:ascii="Arial" w:hAnsi="Arial" w:cs="Arial"/>
          <w:sz w:val="20"/>
          <w:szCs w:val="20"/>
          <w:lang w:eastAsia="fr-BE"/>
        </w:rPr>
      </w:pPr>
      <w:r>
        <w:rPr>
          <w:rFonts w:ascii="Arial" w:hAnsi="Arial" w:cs="Arial"/>
          <w:sz w:val="20"/>
          <w:szCs w:val="20"/>
          <w:lang w:eastAsia="fr-BE"/>
        </w:rPr>
        <w:t>Le contexte politique, économique et sécuritaire reste tendu et ne nous permet pas de voir à long terme ce qui sera possible de mettre en place à la fin du volet PC qui visait la consolidation des acquis engrangés sur l’appui institutionnel, l’appui périphérique, la politique des RH et des écoles paramédicales. Il est clair que si aucune mesure n’est prise certains acquis se perdront petit à petit. Nous nous devons donc d’indiquer que la durabilité du programme qui se concevait dans le long terme est devenue sérieusement compromise.</w:t>
      </w:r>
    </w:p>
    <w:p w:rsidR="0055535A" w:rsidRDefault="0055535A" w:rsidP="0055535A">
      <w:pPr>
        <w:widowControl/>
        <w:suppressAutoHyphens w:val="0"/>
        <w:jc w:val="both"/>
        <w:rPr>
          <w:rFonts w:cs="Arial"/>
          <w:sz w:val="20"/>
          <w:szCs w:val="20"/>
          <w:lang w:eastAsia="fr-BE"/>
        </w:rPr>
      </w:pPr>
      <w:r>
        <w:rPr>
          <w:rFonts w:cs="Arial"/>
          <w:sz w:val="20"/>
          <w:szCs w:val="20"/>
          <w:lang w:eastAsia="fr-BE"/>
        </w:rPr>
        <w:t>D’autre part, nombre de PTF ont suspendu une partie de leur appui.</w:t>
      </w:r>
    </w:p>
    <w:p w:rsidR="0055535A" w:rsidRDefault="0055535A" w:rsidP="0055535A">
      <w:pPr>
        <w:widowControl/>
        <w:suppressAutoHyphens w:val="0"/>
        <w:jc w:val="both"/>
        <w:rPr>
          <w:rFonts w:cs="Arial"/>
          <w:sz w:val="20"/>
          <w:szCs w:val="20"/>
          <w:lang w:eastAsia="fr-BE"/>
        </w:rPr>
      </w:pPr>
    </w:p>
    <w:p w:rsidR="0055535A" w:rsidRDefault="0055535A" w:rsidP="0055535A">
      <w:pPr>
        <w:widowControl/>
        <w:suppressAutoHyphens w:val="0"/>
        <w:jc w:val="both"/>
        <w:rPr>
          <w:rFonts w:cs="Arial"/>
          <w:kern w:val="0"/>
          <w:sz w:val="20"/>
          <w:szCs w:val="20"/>
          <w:u w:val="single"/>
          <w:lang w:val="fr-BE" w:eastAsia="fr-BE"/>
        </w:rPr>
      </w:pPr>
      <w:r>
        <w:rPr>
          <w:rFonts w:cs="Arial"/>
          <w:kern w:val="0"/>
          <w:sz w:val="20"/>
          <w:szCs w:val="20"/>
          <w:u w:val="single"/>
          <w:lang w:val="fr-BE" w:eastAsia="fr-BE"/>
        </w:rPr>
        <w:t>Angle d’enjeux partagés :</w:t>
      </w:r>
    </w:p>
    <w:p w:rsidR="0055535A" w:rsidRDefault="0055535A" w:rsidP="0055535A">
      <w:pPr>
        <w:widowControl/>
        <w:suppressAutoHyphens w:val="0"/>
        <w:jc w:val="both"/>
        <w:rPr>
          <w:rFonts w:cs="Arial"/>
          <w:sz w:val="20"/>
          <w:szCs w:val="20"/>
          <w:lang w:eastAsia="fr-BE"/>
        </w:rPr>
      </w:pPr>
      <w:r>
        <w:rPr>
          <w:rFonts w:cs="Arial"/>
          <w:sz w:val="20"/>
          <w:szCs w:val="20"/>
          <w:lang w:eastAsia="fr-BE"/>
        </w:rPr>
        <w:t>Le contexte actuel rend difficile les relations entre les différentes parties prenantes (Etat, société civile, Privés et PTF). Dans ces conditions les accords qu’ils soient bilatéraux (Coopération Belge) ou multilatéraux (UE) sont remis en question et réorientés vers des appuis directs à la population.</w:t>
      </w:r>
    </w:p>
    <w:p w:rsidR="0055535A" w:rsidRDefault="0055535A" w:rsidP="0055535A">
      <w:pPr>
        <w:widowControl/>
        <w:suppressAutoHyphens w:val="0"/>
        <w:jc w:val="both"/>
        <w:rPr>
          <w:rFonts w:cs="Arial"/>
          <w:kern w:val="0"/>
          <w:sz w:val="20"/>
          <w:szCs w:val="20"/>
          <w:u w:val="single"/>
          <w:lang w:val="fr-BE" w:eastAsia="fr-BE"/>
        </w:rPr>
      </w:pPr>
      <w:r>
        <w:rPr>
          <w:rFonts w:cs="Arial"/>
          <w:kern w:val="0"/>
          <w:sz w:val="20"/>
          <w:szCs w:val="20"/>
          <w:u w:val="single"/>
          <w:lang w:val="fr-BE" w:eastAsia="fr-BE"/>
        </w:rPr>
        <w:t>Angle des moyens disponibles :</w:t>
      </w:r>
    </w:p>
    <w:p w:rsidR="0055535A" w:rsidRDefault="0055535A" w:rsidP="0055535A">
      <w:pPr>
        <w:pStyle w:val="Paragraphedeliste"/>
        <w:numPr>
          <w:ilvl w:val="0"/>
          <w:numId w:val="18"/>
        </w:numPr>
        <w:snapToGrid/>
        <w:ind w:left="360"/>
        <w:jc w:val="both"/>
        <w:textAlignment w:val="center"/>
        <w:rPr>
          <w:rFonts w:ascii="Arial" w:hAnsi="Arial" w:cs="Arial"/>
          <w:sz w:val="20"/>
          <w:szCs w:val="20"/>
          <w:lang w:eastAsia="fr-BE"/>
        </w:rPr>
      </w:pPr>
      <w:r>
        <w:rPr>
          <w:rFonts w:ascii="Arial" w:hAnsi="Arial" w:cs="Arial"/>
          <w:sz w:val="20"/>
          <w:szCs w:val="20"/>
          <w:lang w:eastAsia="fr-BE"/>
        </w:rPr>
        <w:t xml:space="preserve">Il n’y a pas de durabilité si les moyens nécessaires des interventions ne peuvent être garantis ; les perspectives pour l'avenir demeurent malgré tout prometteuses puisque la BM lancera en 2017 un projet de 50 millions de dollars en appui au système de santé, alors que GAVI-RSS mettra de son côté en œuvre un projet de 30 millions dans la même optique. </w:t>
      </w:r>
    </w:p>
    <w:p w:rsidR="0055535A" w:rsidRDefault="0055535A" w:rsidP="0055535A">
      <w:pPr>
        <w:pStyle w:val="Paragraphedeliste"/>
        <w:numPr>
          <w:ilvl w:val="0"/>
          <w:numId w:val="18"/>
        </w:numPr>
        <w:snapToGrid/>
        <w:ind w:left="360"/>
        <w:jc w:val="both"/>
        <w:rPr>
          <w:rFonts w:ascii="Arial" w:hAnsi="Arial" w:cs="Arial"/>
          <w:sz w:val="20"/>
          <w:szCs w:val="20"/>
          <w:lang w:eastAsia="fr-BE"/>
        </w:rPr>
      </w:pPr>
      <w:r>
        <w:rPr>
          <w:rFonts w:ascii="Arial" w:hAnsi="Arial" w:cs="Arial"/>
          <w:sz w:val="20"/>
          <w:szCs w:val="20"/>
          <w:lang w:eastAsia="fr-BE"/>
        </w:rPr>
        <w:t xml:space="preserve">D’autres facteurs sont à prendre en compte sous cet angle et notamment la mobilité du personnel responsable des structures appuyées qui reste très peu de temps en poste parce que en perpétuelle mutations. La durée de vie d’un médecin à son poste est de 14 mois avant d’être muté ailleurs. D’autres ont quitté le pays pour des raisons diverses (études ou recherche d’emplois à l’étranger). Ceci pose d’énormes problèmes de continuité et de durabilité des actions. </w:t>
      </w:r>
    </w:p>
    <w:p w:rsidR="0055535A" w:rsidRDefault="0055535A" w:rsidP="0055535A">
      <w:pPr>
        <w:pStyle w:val="Paragraphedeliste"/>
        <w:numPr>
          <w:ilvl w:val="0"/>
          <w:numId w:val="18"/>
        </w:numPr>
        <w:snapToGrid/>
        <w:ind w:left="360"/>
        <w:jc w:val="both"/>
        <w:textAlignment w:val="center"/>
        <w:rPr>
          <w:rFonts w:ascii="Arial" w:hAnsi="Arial" w:cs="Arial"/>
          <w:sz w:val="20"/>
          <w:szCs w:val="20"/>
          <w:lang w:eastAsia="fr-BE"/>
        </w:rPr>
      </w:pPr>
      <w:r>
        <w:rPr>
          <w:rFonts w:ascii="Arial" w:hAnsi="Arial" w:cs="Arial"/>
          <w:sz w:val="20"/>
          <w:szCs w:val="20"/>
          <w:lang w:eastAsia="fr-BE"/>
        </w:rPr>
        <w:t xml:space="preserve">Dans le cadre de l’informatisation, un des préalables est la fourniture d’une énergie stable et en continu ; force est de constater que la situation de déficit énergétique s’empire et ne risque pas de s’améliorer. </w:t>
      </w:r>
    </w:p>
    <w:p w:rsidR="0055535A" w:rsidRDefault="0055535A" w:rsidP="0055535A">
      <w:pPr>
        <w:pStyle w:val="Paragraphedeliste"/>
        <w:numPr>
          <w:ilvl w:val="0"/>
          <w:numId w:val="18"/>
        </w:numPr>
        <w:snapToGrid/>
        <w:ind w:left="360"/>
        <w:jc w:val="both"/>
        <w:textAlignment w:val="center"/>
        <w:rPr>
          <w:rFonts w:ascii="Arial" w:hAnsi="Arial" w:cs="Arial"/>
          <w:sz w:val="20"/>
          <w:szCs w:val="20"/>
          <w:lang w:eastAsia="fr-BE"/>
        </w:rPr>
      </w:pPr>
      <w:r>
        <w:rPr>
          <w:rFonts w:ascii="Arial" w:hAnsi="Arial" w:cs="Arial"/>
          <w:sz w:val="20"/>
          <w:szCs w:val="20"/>
          <w:lang w:eastAsia="fr-BE"/>
        </w:rPr>
        <w:t xml:space="preserve">Par ailleurs, la mise en place de mécanisme de financement de la maintenance (ICT, biomédical, infrastructures) par les structures appuyées ou par le MSPLS devait assurer la durabilité des actions. Sans cadre politique, ce genre de mesures ne peut être adopté. </w:t>
      </w:r>
    </w:p>
    <w:p w:rsidR="0055535A" w:rsidRDefault="0055535A" w:rsidP="0055535A">
      <w:pPr>
        <w:jc w:val="both"/>
        <w:textAlignment w:val="center"/>
        <w:rPr>
          <w:rFonts w:cs="Arial"/>
          <w:sz w:val="20"/>
          <w:szCs w:val="20"/>
          <w:lang w:eastAsia="fr-BE"/>
        </w:rPr>
      </w:pPr>
      <w:r>
        <w:rPr>
          <w:rFonts w:cs="Arial"/>
          <w:sz w:val="20"/>
          <w:szCs w:val="20"/>
          <w:u w:val="single"/>
          <w:lang w:eastAsia="fr-BE"/>
        </w:rPr>
        <w:t>Angle d’appropriation par les bénéficiaires :</w:t>
      </w:r>
    </w:p>
    <w:p w:rsidR="0055535A" w:rsidRDefault="0055535A" w:rsidP="0055535A">
      <w:pPr>
        <w:pStyle w:val="Paragraphedeliste"/>
        <w:numPr>
          <w:ilvl w:val="0"/>
          <w:numId w:val="19"/>
        </w:numPr>
        <w:snapToGrid/>
        <w:jc w:val="both"/>
        <w:rPr>
          <w:rFonts w:ascii="Arial" w:hAnsi="Arial" w:cs="Arial"/>
          <w:sz w:val="20"/>
          <w:szCs w:val="20"/>
          <w:lang w:eastAsia="fr-BE"/>
        </w:rPr>
      </w:pPr>
      <w:r>
        <w:rPr>
          <w:rFonts w:ascii="Arial" w:hAnsi="Arial" w:cs="Arial"/>
          <w:sz w:val="20"/>
          <w:szCs w:val="20"/>
          <w:lang w:eastAsia="fr-BE"/>
        </w:rPr>
        <w:t>Nous pouvons nous permettre d’affirmer que les interventions ont été de façon générale appréciées par les acteurs et les bénéficiaires. Lors des missions de terrain officielles ou des ateliers de réflexions menés sur la stratégie de sortie du PAISS PC, ce point n’a fait aucun doute. Cependant, la situation sécuritaire, les questionnements permanents sur des lendemains peu enchanteurs ainsi que la fin du PAISS-PC et l’incertitude sur la suite des actions qui étaient menées ne permettent pas de rendre pérenne une appropriation qui s’amorçait à peine.</w:t>
      </w:r>
    </w:p>
    <w:p w:rsidR="0055535A" w:rsidRDefault="0055535A" w:rsidP="0055535A">
      <w:pPr>
        <w:widowControl/>
        <w:suppressAutoHyphens w:val="0"/>
        <w:rPr>
          <w:rFonts w:eastAsia="Arial Unicode MS"/>
          <w:b/>
          <w:bCs/>
          <w:color w:val="50B848"/>
          <w:kern w:val="28"/>
          <w:sz w:val="28"/>
          <w:szCs w:val="28"/>
        </w:rPr>
      </w:pPr>
      <w:r>
        <w:br w:type="page"/>
      </w:r>
      <w:bookmarkStart w:id="38" w:name="_Toc475972144"/>
      <w:bookmarkStart w:id="39" w:name="_Toc411938797"/>
      <w:bookmarkStart w:id="40" w:name="_Toc370814268"/>
      <w:bookmarkStart w:id="41" w:name="_Toc370814192"/>
    </w:p>
    <w:p w:rsidR="0055535A" w:rsidRDefault="0055535A" w:rsidP="0055535A">
      <w:pPr>
        <w:pStyle w:val="Titre2"/>
        <w:numPr>
          <w:ilvl w:val="1"/>
          <w:numId w:val="16"/>
        </w:numPr>
        <w:tabs>
          <w:tab w:val="clear" w:pos="3978"/>
          <w:tab w:val="num" w:pos="576"/>
        </w:tabs>
        <w:ind w:left="576"/>
        <w:rPr>
          <w:rFonts w:cs="Arial"/>
          <w:sz w:val="28"/>
        </w:rPr>
      </w:pPr>
      <w:r>
        <w:t>Conclusions</w:t>
      </w:r>
      <w:bookmarkEnd w:id="38"/>
      <w:bookmarkEnd w:id="39"/>
      <w:bookmarkEnd w:id="40"/>
      <w:bookmarkEnd w:id="41"/>
      <w:r>
        <w:t xml:space="preserve"> </w:t>
      </w:r>
    </w:p>
    <w:p w:rsidR="0055535A" w:rsidRDefault="0055535A" w:rsidP="0055535A">
      <w:pPr>
        <w:numPr>
          <w:ilvl w:val="0"/>
          <w:numId w:val="20"/>
        </w:numPr>
        <w:ind w:left="284" w:hanging="284"/>
        <w:jc w:val="both"/>
        <w:rPr>
          <w:rFonts w:eastAsia="Arial Unicode MS" w:cs="Arial"/>
          <w:sz w:val="20"/>
          <w:szCs w:val="20"/>
        </w:rPr>
      </w:pPr>
      <w:r>
        <w:rPr>
          <w:rFonts w:eastAsia="Arial Unicode MS" w:cs="Arial"/>
          <w:sz w:val="20"/>
          <w:szCs w:val="20"/>
        </w:rPr>
        <w:t>Dans un contexte d’instabilité politique où les ressources nationales sont devenues rares et où beaucoup de PTF se sont retirés, le PAISS est resté un programme vital, pertinent et efficient même si les perspectives de durabilité économique de l’intervention restent très précaires.</w:t>
      </w:r>
    </w:p>
    <w:p w:rsidR="0055535A" w:rsidRDefault="0055535A" w:rsidP="0055535A">
      <w:pPr>
        <w:numPr>
          <w:ilvl w:val="0"/>
          <w:numId w:val="20"/>
        </w:numPr>
        <w:ind w:left="284" w:hanging="284"/>
        <w:jc w:val="both"/>
        <w:rPr>
          <w:rFonts w:eastAsia="Arial Unicode MS" w:cs="Arial"/>
          <w:sz w:val="20"/>
          <w:szCs w:val="20"/>
        </w:rPr>
      </w:pPr>
      <w:r>
        <w:rPr>
          <w:sz w:val="20"/>
          <w:szCs w:val="20"/>
        </w:rPr>
        <w:t xml:space="preserve">Même si les résultats planifiés ont été affectés par la crise, l’année 2016 peut à juste titre être considérée comme une année de forte résilience face aux défis de la crise socio-politique qui a affecté le Burundi en 2015. </w:t>
      </w:r>
    </w:p>
    <w:p w:rsidR="0055535A" w:rsidRDefault="0055535A" w:rsidP="0055535A">
      <w:pPr>
        <w:numPr>
          <w:ilvl w:val="0"/>
          <w:numId w:val="20"/>
        </w:numPr>
        <w:ind w:left="284" w:hanging="284"/>
        <w:jc w:val="both"/>
        <w:rPr>
          <w:rFonts w:eastAsia="Arial Unicode MS" w:cs="Arial"/>
          <w:sz w:val="20"/>
          <w:szCs w:val="20"/>
        </w:rPr>
      </w:pPr>
      <w:r>
        <w:rPr>
          <w:rFonts w:eastAsia="Arial Unicode MS" w:cs="Arial"/>
          <w:sz w:val="20"/>
          <w:szCs w:val="20"/>
        </w:rPr>
        <w:t xml:space="preserve">Le taux d’exécution du PAISS PC est satisfaisant. Il atteint les 90% d’exécution hors budgets suspendus qui représentent 20% du budget total et pourrait atteindre les 100% avant la fin avril 2017. Le taux d’exécution du volet 4 a quant à lui atteint 54% hors budget suspendu et celui du volet 5 est passé de 5 à 13% hors budget suspendu. Il faut noter que le volet 5 est essentiellement dédié aux infrastructures et requiert donc une période de préparation et d’études. </w:t>
      </w:r>
    </w:p>
    <w:p w:rsidR="0055535A" w:rsidRDefault="0055535A" w:rsidP="0055535A">
      <w:pPr>
        <w:numPr>
          <w:ilvl w:val="0"/>
          <w:numId w:val="20"/>
        </w:numPr>
        <w:ind w:left="284" w:hanging="284"/>
        <w:jc w:val="both"/>
        <w:rPr>
          <w:rFonts w:eastAsia="Arial Unicode MS" w:cs="Arial"/>
          <w:sz w:val="20"/>
          <w:szCs w:val="20"/>
        </w:rPr>
      </w:pPr>
      <w:r>
        <w:rPr>
          <w:rFonts w:eastAsia="Arial Unicode MS" w:cs="Arial"/>
          <w:sz w:val="20"/>
          <w:szCs w:val="20"/>
        </w:rPr>
        <w:t xml:space="preserve">En conclusion de ce rapport 2016, nous faisons nôtre, la conclusion formulée par l’évaluation finale du PAISS et évaluation mi-parcours du volet 4 : </w:t>
      </w:r>
    </w:p>
    <w:p w:rsidR="0055535A" w:rsidRDefault="0055535A" w:rsidP="0055535A">
      <w:pPr>
        <w:jc w:val="both"/>
        <w:rPr>
          <w:rFonts w:eastAsia="Arial Unicode MS" w:cs="Arial"/>
          <w:sz w:val="20"/>
          <w:szCs w:val="20"/>
        </w:rPr>
      </w:pPr>
      <w:r>
        <w:rPr>
          <w:rFonts w:eastAsia="Arial Unicode MS" w:cs="Arial"/>
          <w:sz w:val="20"/>
          <w:szCs w:val="20"/>
        </w:rPr>
        <w:t>« </w:t>
      </w:r>
      <w:r>
        <w:rPr>
          <w:rFonts w:eastAsia="Arial Unicode MS" w:cs="Arial"/>
          <w:i/>
          <w:sz w:val="20"/>
          <w:szCs w:val="20"/>
        </w:rPr>
        <w:t>…</w:t>
      </w:r>
      <w:r>
        <w:rPr>
          <w:rFonts w:eastAsia="Calibri"/>
          <w:i/>
          <w:sz w:val="20"/>
          <w:szCs w:val="20"/>
        </w:rPr>
        <w:t xml:space="preserve"> le PAISS devra poursuivre l’ensemble de son soutien au MSPLS tant que les conditions politiques le permettent. Dans le cas où les appuis au niveau central resteraient suspendus, le PAISS devrait poursuivre l’appui au niveau opérationnel en vue de maintenir les acquis obtenus.…l’intervention du PAISS reste déterminante pour la réussite des nombreuses réformes engagées dans le cadre du SNIS et de l’informatisation du secteur hospitalier…</w:t>
      </w:r>
      <w:r>
        <w:rPr>
          <w:rFonts w:eastAsia="Calibri"/>
          <w:sz w:val="20"/>
          <w:szCs w:val="20"/>
        </w:rPr>
        <w:t> ».</w:t>
      </w:r>
    </w:p>
    <w:p w:rsidR="0055535A" w:rsidRDefault="0055535A" w:rsidP="0055535A">
      <w:pPr>
        <w:jc w:val="both"/>
        <w:rPr>
          <w:rFonts w:eastAsia="Arial Unicode MS" w:cs="Arial"/>
          <w:sz w:val="20"/>
          <w:szCs w:val="20"/>
        </w:rPr>
      </w:pPr>
    </w:p>
    <w:p w:rsidR="00CD1A21" w:rsidRDefault="00CD1A21" w:rsidP="0055535A">
      <w:pPr>
        <w:jc w:val="both"/>
        <w:rPr>
          <w:rFonts w:eastAsia="Arial Unicode MS" w:cs="Arial"/>
          <w:sz w:val="20"/>
          <w:szCs w:val="20"/>
        </w:rPr>
      </w:pPr>
    </w:p>
    <w:p w:rsidR="00CD1A21" w:rsidRDefault="00CD1A21" w:rsidP="0055535A">
      <w:pPr>
        <w:jc w:val="both"/>
        <w:rPr>
          <w:rFonts w:eastAsia="Arial Unicode MS" w:cs="Arial"/>
          <w:sz w:val="20"/>
          <w:szCs w:val="20"/>
        </w:rPr>
      </w:pPr>
    </w:p>
    <w:p w:rsidR="00CD1A21" w:rsidRDefault="00CD1A21" w:rsidP="0055535A">
      <w:pPr>
        <w:jc w:val="both"/>
        <w:rPr>
          <w:rFonts w:eastAsia="Arial Unicode MS" w:cs="Arial"/>
          <w:sz w:val="20"/>
          <w:szCs w:val="20"/>
        </w:rPr>
      </w:pPr>
    </w:p>
    <w:p w:rsidR="00CD1A21" w:rsidRDefault="00CD1A21" w:rsidP="00CD1A21">
      <w:pPr>
        <w:jc w:val="center"/>
        <w:rPr>
          <w:rFonts w:eastAsia="Arial Unicode MS" w:cs="Arial"/>
          <w:sz w:val="20"/>
          <w:szCs w:val="20"/>
        </w:rPr>
      </w:pPr>
      <w:r>
        <w:rPr>
          <w:rFonts w:eastAsia="Arial Unicode MS" w:cs="Arial"/>
          <w:noProof/>
          <w:sz w:val="20"/>
          <w:szCs w:val="20"/>
          <w:lang w:val="fr-BE" w:eastAsia="fr-BE"/>
        </w:rPr>
        <w:drawing>
          <wp:inline distT="0" distB="0" distL="0" distR="0" wp14:anchorId="12DDEAAD" wp14:editId="66809AD4">
            <wp:extent cx="3434316" cy="1059259"/>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34316" cy="1059259"/>
                    </a:xfrm>
                    <a:prstGeom prst="rect">
                      <a:avLst/>
                    </a:prstGeom>
                    <a:noFill/>
                    <a:ln>
                      <a:noFill/>
                    </a:ln>
                  </pic:spPr>
                </pic:pic>
              </a:graphicData>
            </a:graphic>
          </wp:inline>
        </w:drawing>
      </w:r>
    </w:p>
    <w:p w:rsidR="0055535A" w:rsidRDefault="0055535A" w:rsidP="0055535A">
      <w:pPr>
        <w:pStyle w:val="Titre1"/>
        <w:numPr>
          <w:ilvl w:val="0"/>
          <w:numId w:val="16"/>
        </w:numPr>
        <w:spacing w:after="360"/>
        <w:ind w:left="431" w:hanging="431"/>
        <w:rPr>
          <w:rFonts w:cs="Arial"/>
        </w:rPr>
      </w:pPr>
      <w:bookmarkStart w:id="42" w:name="_Toc475972145"/>
      <w:bookmarkStart w:id="43" w:name="_Toc411938798"/>
      <w:bookmarkStart w:id="44" w:name="_Toc370814269"/>
      <w:bookmarkStart w:id="45" w:name="_Toc370814193"/>
      <w:r>
        <w:t>Monitoring des résultats</w:t>
      </w:r>
      <w:r>
        <w:rPr>
          <w:rStyle w:val="Appelnotedebasdep"/>
        </w:rPr>
        <w:footnoteReference w:id="2"/>
      </w:r>
      <w:bookmarkEnd w:id="42"/>
      <w:bookmarkEnd w:id="43"/>
      <w:bookmarkEnd w:id="44"/>
      <w:bookmarkEnd w:id="45"/>
    </w:p>
    <w:p w:rsidR="0055535A" w:rsidRDefault="0055535A" w:rsidP="0055535A">
      <w:pPr>
        <w:pStyle w:val="Titre2"/>
        <w:numPr>
          <w:ilvl w:val="1"/>
          <w:numId w:val="16"/>
        </w:numPr>
        <w:tabs>
          <w:tab w:val="clear" w:pos="3978"/>
          <w:tab w:val="num" w:pos="576"/>
        </w:tabs>
        <w:ind w:left="576"/>
      </w:pPr>
      <w:bookmarkStart w:id="46" w:name="_Toc475972146"/>
      <w:bookmarkStart w:id="47" w:name="_Toc411938799"/>
      <w:bookmarkStart w:id="48" w:name="_Toc370814270"/>
      <w:bookmarkStart w:id="49" w:name="_Toc370814194"/>
      <w:bookmarkStart w:id="50" w:name="_Toc305765849"/>
      <w:r>
        <w:t>Évolution du contexte</w:t>
      </w:r>
      <w:bookmarkEnd w:id="46"/>
      <w:bookmarkEnd w:id="47"/>
      <w:bookmarkEnd w:id="48"/>
      <w:bookmarkEnd w:id="49"/>
      <w:bookmarkEnd w:id="50"/>
    </w:p>
    <w:p w:rsidR="0055535A" w:rsidRDefault="0055535A" w:rsidP="00367A16">
      <w:pPr>
        <w:pStyle w:val="Titre3"/>
        <w:numPr>
          <w:ilvl w:val="0"/>
          <w:numId w:val="0"/>
        </w:numPr>
        <w:jc w:val="both"/>
        <w:rPr>
          <w:rFonts w:cs="Arial"/>
        </w:rPr>
      </w:pPr>
      <w:bookmarkStart w:id="51" w:name="_Toc475972147"/>
      <w:r>
        <w:t>2.1.1 Contexte général</w:t>
      </w:r>
      <w:bookmarkEnd w:id="51"/>
      <w:r>
        <w:t xml:space="preserve"> </w:t>
      </w:r>
    </w:p>
    <w:p w:rsidR="0055535A" w:rsidRDefault="0055535A" w:rsidP="0055535A">
      <w:pPr>
        <w:spacing w:after="120"/>
        <w:jc w:val="both"/>
        <w:rPr>
          <w:sz w:val="20"/>
        </w:rPr>
      </w:pPr>
      <w:r>
        <w:rPr>
          <w:sz w:val="20"/>
        </w:rPr>
        <w:t>Le Programme d’Appui Institutionnel au Secteur de la Santé (PAISS) est resté inscrit dans le PNDSII 2011-2015 qui a été étendu à 2018. Le programme a évolué dans un contexte d’un pays post conflit avec une économie fragile (essentiellement agricole) : 67% de la population vit encore sous le seuil de pauvreté. La population burundaise est estimée à 11,7 millions d’habitants, avec une densité démographique à 420 habitants par km² en fin 2016. Elle dépend largement de l’agriculture soumise le plus souvent aux changements climatiques</w:t>
      </w:r>
    </w:p>
    <w:p w:rsidR="0055535A" w:rsidRDefault="0055535A" w:rsidP="0055535A">
      <w:pPr>
        <w:jc w:val="both"/>
        <w:rPr>
          <w:sz w:val="20"/>
        </w:rPr>
      </w:pPr>
      <w:r>
        <w:rPr>
          <w:sz w:val="20"/>
        </w:rPr>
        <w:t xml:space="preserve">Dû au fait que la majorité des ménages burundais recourrait au paiement direct pour financer leurs dépenses de santé, le gouvernement a mis en place une Carte d’Assistance Médicale (CAM) qui donnait accès aux soins moyennant payement d’une modique somme. </w:t>
      </w:r>
    </w:p>
    <w:p w:rsidR="0055535A" w:rsidRDefault="0055535A" w:rsidP="0055535A">
      <w:pPr>
        <w:jc w:val="both"/>
        <w:rPr>
          <w:sz w:val="20"/>
        </w:rPr>
      </w:pPr>
    </w:p>
    <w:p w:rsidR="0055535A" w:rsidRDefault="0055535A" w:rsidP="0055535A">
      <w:pPr>
        <w:jc w:val="both"/>
        <w:rPr>
          <w:sz w:val="20"/>
        </w:rPr>
      </w:pPr>
      <w:r>
        <w:rPr>
          <w:sz w:val="20"/>
        </w:rPr>
        <w:t>Depuis 2015, le Burundi a replongé dans une phase de conflit. Les répercussions affectent fortement la vie du pays en général, le système de santé en particulier et les activités de développement. L’insécurité générée a touché tout le pays puisqu’il s’observe un déclin économique, une dépréciation de la monnaie avec une détérioration du pouvoir d’achat, une crise énergétique avec des conséquences diverses.</w:t>
      </w:r>
    </w:p>
    <w:p w:rsidR="0055535A" w:rsidRDefault="0055535A" w:rsidP="0055535A">
      <w:pPr>
        <w:jc w:val="both"/>
        <w:rPr>
          <w:sz w:val="20"/>
        </w:rPr>
      </w:pPr>
      <w:r>
        <w:rPr>
          <w:sz w:val="20"/>
        </w:rPr>
        <w:t xml:space="preserve">L’UE et ses Etats Membres ont suspendu leur aide financière directe à l’administration burundaise tout en maintenant leur soutien financier à la population et à l’aide humanitaire. Dans ce cadre, les budgets des différents volets du PAISS qui étaient dédiés aux appuis du niveau central du système de santé ont été suspendus depuis novembre 2015 empêchant ainsi la poursuite de certaines activités essentielles au secteur de la santé. </w:t>
      </w:r>
    </w:p>
    <w:p w:rsidR="0055535A" w:rsidRDefault="0055535A" w:rsidP="0055535A">
      <w:pPr>
        <w:pStyle w:val="Default"/>
        <w:jc w:val="both"/>
        <w:rPr>
          <w:color w:val="auto"/>
          <w:sz w:val="20"/>
          <w:szCs w:val="20"/>
        </w:rPr>
      </w:pPr>
    </w:p>
    <w:p w:rsidR="0055535A" w:rsidRDefault="0055535A" w:rsidP="00367A16">
      <w:pPr>
        <w:pStyle w:val="Titre3"/>
        <w:numPr>
          <w:ilvl w:val="0"/>
          <w:numId w:val="0"/>
        </w:numPr>
        <w:rPr>
          <w:rFonts w:cs="Arial"/>
          <w:sz w:val="24"/>
        </w:rPr>
      </w:pPr>
      <w:bookmarkStart w:id="52" w:name="_Toc305765851"/>
      <w:bookmarkStart w:id="53" w:name="_Toc370814196"/>
      <w:bookmarkStart w:id="54" w:name="_Toc370814272"/>
      <w:bookmarkStart w:id="55" w:name="_Toc475972148"/>
      <w:r>
        <w:t xml:space="preserve">2.1.2 </w:t>
      </w:r>
      <w:bookmarkStart w:id="56" w:name="_Toc411938801"/>
      <w:r>
        <w:t xml:space="preserve">Contexte </w:t>
      </w:r>
      <w:bookmarkEnd w:id="52"/>
      <w:r>
        <w:t>institutionnel</w:t>
      </w:r>
      <w:bookmarkEnd w:id="53"/>
      <w:bookmarkEnd w:id="54"/>
      <w:bookmarkEnd w:id="55"/>
      <w:bookmarkEnd w:id="56"/>
      <w:r>
        <w:tab/>
      </w:r>
      <w:r>
        <w:tab/>
      </w:r>
    </w:p>
    <w:p w:rsidR="0055535A" w:rsidRDefault="0055535A" w:rsidP="0055535A">
      <w:pPr>
        <w:pStyle w:val="CTBCorpsdetexte"/>
        <w:rPr>
          <w:rFonts w:eastAsia="Garamond"/>
        </w:rPr>
      </w:pPr>
      <w:r>
        <w:rPr>
          <w:rFonts w:eastAsia="Garamond"/>
        </w:rPr>
        <w:t>La suspension des appuis au niveau central a fragilisé le double ancrage du Programme aux niveaux central et opérationnel. Il s’en est installé un climat de méfiance des autorités vis-à-vis des interventions dirigées de façon unidirectionnelle vers le niveau périphérique.</w:t>
      </w:r>
    </w:p>
    <w:p w:rsidR="0055535A" w:rsidRDefault="0055535A" w:rsidP="0055535A">
      <w:pPr>
        <w:pStyle w:val="CTBCorpsdetexte"/>
        <w:rPr>
          <w:rFonts w:eastAsia="Garamond"/>
        </w:rPr>
      </w:pPr>
      <w:r>
        <w:rPr>
          <w:rFonts w:eastAsia="Garamond"/>
        </w:rPr>
        <w:t>Cette méfiance, si elle n’est pas levée pourrait devenir à terme une grande cause d’inefficacité des interventions globales du PAISS.</w:t>
      </w:r>
    </w:p>
    <w:p w:rsidR="0055535A" w:rsidRDefault="0055535A" w:rsidP="0055535A">
      <w:pPr>
        <w:pStyle w:val="CTBCorpsdetexte"/>
        <w:rPr>
          <w:rFonts w:eastAsia="Garamond"/>
        </w:rPr>
      </w:pPr>
      <w:r>
        <w:rPr>
          <w:rFonts w:eastAsia="Garamond"/>
        </w:rPr>
        <w:t>L’aide véhiculée via le Programme est restée malgré tout alignée sur le PNDS, et en harmonie avec d’autres PTF. Les Projets d’appui au PBF de l’UE et de la Banque mondiale sont à ce point synergiques avec les appuis techniques du PAISS pour la bonne gestion de ces aides.</w:t>
      </w:r>
    </w:p>
    <w:p w:rsidR="0055535A" w:rsidRDefault="0055535A" w:rsidP="0055535A">
      <w:pPr>
        <w:pStyle w:val="CTBCorpsdetexte"/>
      </w:pPr>
      <w:r>
        <w:t>Nombre d’instruments</w:t>
      </w:r>
      <w:r>
        <w:rPr>
          <w:b/>
        </w:rPr>
        <w:t xml:space="preserve"> </w:t>
      </w:r>
      <w:r>
        <w:t xml:space="preserve">de pilotage préexistants ont soit été suspendus (SMCL) soit cessé de fonctionner (Revue Annuelle Conjointe du PNDS, </w:t>
      </w:r>
      <w:r>
        <w:rPr>
          <w:rFonts w:eastAsiaTheme="minorHAnsi"/>
        </w:rPr>
        <w:t>Cadre de concertation des partenaires pour la santé et le développement (</w:t>
      </w:r>
      <w:r>
        <w:t xml:space="preserve">CPSD)). D’autres se sont poursuivis avec ténacité (missions de backstopping ; évaluation finale du volet PAISS et PAISS-PC en décembre 2016, évaluation à mi-parcours du volet 4 en décembre 2016). </w:t>
      </w:r>
    </w:p>
    <w:p w:rsidR="0055535A" w:rsidRDefault="0055535A" w:rsidP="0055535A">
      <w:pPr>
        <w:jc w:val="both"/>
        <w:rPr>
          <w:sz w:val="20"/>
          <w:szCs w:val="20"/>
        </w:rPr>
      </w:pPr>
      <w:r>
        <w:rPr>
          <w:sz w:val="20"/>
        </w:rPr>
        <w:t xml:space="preserve">Malgré tout, l’ancrage institutionnel est resté caractérisé par l’alignement des actions du PAISS </w:t>
      </w:r>
      <w:r>
        <w:rPr>
          <w:sz w:val="20"/>
          <w:szCs w:val="20"/>
        </w:rPr>
        <w:t>avec les plans des structures soutenues.</w:t>
      </w:r>
    </w:p>
    <w:p w:rsidR="0055535A" w:rsidRDefault="0055535A" w:rsidP="0055535A">
      <w:pPr>
        <w:jc w:val="both"/>
        <w:rPr>
          <w:sz w:val="20"/>
        </w:rPr>
      </w:pPr>
    </w:p>
    <w:p w:rsidR="0055535A" w:rsidRDefault="0055535A" w:rsidP="0055535A">
      <w:pPr>
        <w:jc w:val="both"/>
        <w:rPr>
          <w:sz w:val="20"/>
          <w:szCs w:val="20"/>
        </w:rPr>
      </w:pPr>
      <w:r>
        <w:rPr>
          <w:sz w:val="20"/>
        </w:rPr>
        <w:t>La très forte mobilité du personnel de santé observée dans le système de santé à cause des mutations régulières opérées à partir du niveau central est restée sans solution. Bien au contraire, elle s’est aggravée</w:t>
      </w:r>
      <w:r>
        <w:rPr>
          <w:sz w:val="20"/>
          <w:szCs w:val="20"/>
        </w:rPr>
        <w:t>, particulièrement dans les zones appuyées par le PAISS. Il s’y est ajouté des départs à l’étranger de nombre des cadres de santé soit pour raison d’études soit pour raison d’émigration. Dans les deux cas les perspectives de retour sont incertaines.</w:t>
      </w:r>
    </w:p>
    <w:p w:rsidR="0055535A" w:rsidRDefault="0055535A" w:rsidP="0055535A">
      <w:pPr>
        <w:pStyle w:val="Normalcentr"/>
        <w:jc w:val="both"/>
        <w:rPr>
          <w:rFonts w:ascii="Arial" w:hAnsi="Arial"/>
          <w:sz w:val="20"/>
        </w:rPr>
      </w:pPr>
    </w:p>
    <w:p w:rsidR="0055535A" w:rsidRDefault="0055535A" w:rsidP="00367A16">
      <w:pPr>
        <w:pStyle w:val="Titre3"/>
        <w:numPr>
          <w:ilvl w:val="0"/>
          <w:numId w:val="0"/>
        </w:numPr>
        <w:rPr>
          <w:rFonts w:cs="Arial"/>
          <w:sz w:val="24"/>
        </w:rPr>
      </w:pPr>
      <w:bookmarkStart w:id="57" w:name="_Toc305765852"/>
      <w:bookmarkStart w:id="58" w:name="_Toc370814197"/>
      <w:bookmarkStart w:id="59" w:name="_Toc370814273"/>
      <w:bookmarkStart w:id="60" w:name="_Toc475972149"/>
      <w:r>
        <w:t xml:space="preserve">2.1.3 </w:t>
      </w:r>
      <w:bookmarkStart w:id="61" w:name="_Toc411938802"/>
      <w:r>
        <w:t>Contexte de gestion : modalités d'exécution</w:t>
      </w:r>
      <w:bookmarkEnd w:id="57"/>
      <w:bookmarkEnd w:id="58"/>
      <w:bookmarkEnd w:id="59"/>
      <w:bookmarkEnd w:id="60"/>
      <w:bookmarkEnd w:id="61"/>
      <w:r>
        <w:t xml:space="preserve"> </w:t>
      </w:r>
    </w:p>
    <w:p w:rsidR="0055535A" w:rsidRDefault="0055535A" w:rsidP="0055535A">
      <w:pPr>
        <w:pStyle w:val="Default"/>
        <w:jc w:val="both"/>
        <w:rPr>
          <w:color w:val="auto"/>
          <w:sz w:val="20"/>
        </w:rPr>
      </w:pPr>
      <w:r>
        <w:rPr>
          <w:color w:val="auto"/>
          <w:sz w:val="20"/>
        </w:rPr>
        <w:t>En 2016 la Belgique a confirmé le maintien de la suspension qui avait été décidée en novembre 2015. L’appui institutionnel au MSPLS est donc resté suspendu durant toute l’année 2016. Les montants ne sont pas définitivement arrêtés mais suspendus (462.897 EUR PAISS-PC, 266.393 EUR Volet 4 et 1.919.141 EUR volet 5). Si aucune décision n’est prise rapidement le montant suspendu du PAISS-PC risque d’être définitivement perdu en 2017.</w:t>
      </w:r>
    </w:p>
    <w:p w:rsidR="0055535A" w:rsidRDefault="0055535A" w:rsidP="0055535A">
      <w:pPr>
        <w:pStyle w:val="Default"/>
        <w:jc w:val="both"/>
        <w:rPr>
          <w:color w:val="auto"/>
          <w:sz w:val="20"/>
        </w:rPr>
      </w:pPr>
      <w:r>
        <w:rPr>
          <w:color w:val="auto"/>
          <w:sz w:val="20"/>
        </w:rPr>
        <w:t xml:space="preserve">Une autre conséquence de la crise est le passage en octobre 2015 du mode d’intervention de cogestion en mode régie avec la suppression des primes de cogestion et autres avantages des responsables burundais concernés. Depuis cette mesure, il n’y a plus de Directeur d’Intervention (DI) au sein du projet </w:t>
      </w:r>
      <w:r>
        <w:rPr>
          <w:sz w:val="20"/>
          <w:szCs w:val="20"/>
        </w:rPr>
        <w:t>ce qui a conduit à une démotivation au niveau du MSPLS alors que leur proximité constituait un grand atout pour l’opérationnalisation du PAISS.</w:t>
      </w:r>
    </w:p>
    <w:p w:rsidR="0055535A" w:rsidRDefault="0055535A" w:rsidP="0055535A">
      <w:pPr>
        <w:pStyle w:val="Default"/>
        <w:jc w:val="both"/>
        <w:rPr>
          <w:color w:val="auto"/>
          <w:sz w:val="20"/>
        </w:rPr>
      </w:pPr>
      <w:r>
        <w:rPr>
          <w:color w:val="auto"/>
          <w:sz w:val="20"/>
        </w:rPr>
        <w:t>Le passage d’un mode à l’autre a entrainé l’annulation de tous les marchés publics (MP) non encore attribués en cogestion pour être relancés selon les procédures belges (Régie).</w:t>
      </w:r>
    </w:p>
    <w:p w:rsidR="0055535A" w:rsidRDefault="0055535A" w:rsidP="0055535A">
      <w:pPr>
        <w:pStyle w:val="Default"/>
        <w:jc w:val="both"/>
        <w:rPr>
          <w:color w:val="auto"/>
          <w:sz w:val="20"/>
        </w:rPr>
      </w:pPr>
      <w:r>
        <w:rPr>
          <w:color w:val="auto"/>
          <w:sz w:val="20"/>
        </w:rPr>
        <w:t>En outre, l’absence sur le terrain puis le départ définitif en juillet 2016 de l’ATI MP de la représentation, n’a pas permis de traiter en temps voulu les dossiers MP. Entre le début de la crise et la relance des MP presque une année a été perdue dans la réalisation des MP ; ce qui a eu un effet direct sur les taux d’exécution.</w:t>
      </w:r>
    </w:p>
    <w:p w:rsidR="0055535A" w:rsidRDefault="0055535A" w:rsidP="0055535A">
      <w:pPr>
        <w:jc w:val="both"/>
        <w:rPr>
          <w:sz w:val="20"/>
          <w:szCs w:val="20"/>
        </w:rPr>
      </w:pPr>
    </w:p>
    <w:p w:rsidR="0055535A" w:rsidRDefault="0055535A" w:rsidP="0055535A">
      <w:pPr>
        <w:pStyle w:val="Default"/>
        <w:jc w:val="both"/>
        <w:rPr>
          <w:color w:val="auto"/>
          <w:sz w:val="20"/>
        </w:rPr>
      </w:pPr>
      <w:r>
        <w:rPr>
          <w:color w:val="auto"/>
          <w:sz w:val="20"/>
        </w:rPr>
        <w:t>Au niveau RH, la situation incertaine des ATI du projet a également causé des retards d’exécution. Pendant le 1</w:t>
      </w:r>
      <w:r>
        <w:rPr>
          <w:color w:val="auto"/>
          <w:sz w:val="20"/>
          <w:vertAlign w:val="superscript"/>
        </w:rPr>
        <w:t>er</w:t>
      </w:r>
      <w:r>
        <w:rPr>
          <w:color w:val="auto"/>
          <w:sz w:val="20"/>
        </w:rPr>
        <w:t xml:space="preserve"> trimestre 2016 seul l’ancien coordinateur du PAISS et responsable des résultats 1 &amp; 2 du volet PC était présent au Burundi. Suite au départ de celui-ci, c’est l’ATI du volet 4 qui a assuré l’intérim avant d’être nommé coordinateur tandis que la fonction de responsable des résultats 1 &amp; 2 du volet PC est restée vacante. Le second ATI du volet PC a quant à lui quitté le projet en juillet 2016 pour rejoindre le nouveau projet UE-PASS-FBP. L’ATI du volet 5 n’a été autorisé de revenir de manière permanente qu’au mois de juin 2016. Malgré cette présence intermittente des ATI, les activités ont continué grâce aux ATN des volets 3, 4 et 5. L’année 2016 a donc été caractérisée par un transfert de compétences des ATI vers les ATN.</w:t>
      </w:r>
    </w:p>
    <w:p w:rsidR="0055535A" w:rsidRDefault="0055535A" w:rsidP="0055535A">
      <w:pPr>
        <w:pStyle w:val="Default"/>
        <w:jc w:val="both"/>
        <w:rPr>
          <w:color w:val="auto"/>
          <w:sz w:val="20"/>
        </w:rPr>
      </w:pPr>
    </w:p>
    <w:p w:rsidR="0055535A" w:rsidRDefault="0055535A" w:rsidP="0055535A">
      <w:pPr>
        <w:pStyle w:val="Default"/>
        <w:jc w:val="both"/>
        <w:rPr>
          <w:color w:val="auto"/>
          <w:sz w:val="20"/>
        </w:rPr>
      </w:pPr>
      <w:r>
        <w:rPr>
          <w:color w:val="auto"/>
          <w:sz w:val="20"/>
        </w:rPr>
        <w:t>Enfin le RAFI, qui est une ressource partagée entre les secteurs santé et éducation, a été moins disponible à cause de la décision de la CTB de passer de 3 à 2 RAFI au Burundi et aussi du fait de son implication dans le nouveau projet UE-PASS-FBP.</w:t>
      </w:r>
    </w:p>
    <w:p w:rsidR="0055535A" w:rsidRDefault="0055535A" w:rsidP="0055535A">
      <w:pPr>
        <w:pStyle w:val="Default"/>
        <w:jc w:val="both"/>
        <w:rPr>
          <w:color w:val="auto"/>
          <w:sz w:val="20"/>
        </w:rPr>
      </w:pPr>
      <w:r>
        <w:rPr>
          <w:color w:val="auto"/>
          <w:sz w:val="20"/>
        </w:rPr>
        <w:t>Globalement le nombre des ATI du PAISS est passé de 5 à 2,5 pour la poursuite des activités pendant le 2</w:t>
      </w:r>
      <w:r>
        <w:rPr>
          <w:color w:val="auto"/>
          <w:sz w:val="20"/>
          <w:vertAlign w:val="superscript"/>
        </w:rPr>
        <w:t>ème</w:t>
      </w:r>
      <w:r>
        <w:rPr>
          <w:color w:val="auto"/>
          <w:sz w:val="20"/>
        </w:rPr>
        <w:t xml:space="preserve">  semestre 2016.</w:t>
      </w:r>
    </w:p>
    <w:p w:rsidR="0055535A" w:rsidRDefault="0055535A" w:rsidP="0055535A">
      <w:pPr>
        <w:pStyle w:val="Default"/>
        <w:jc w:val="both"/>
        <w:rPr>
          <w:color w:val="auto"/>
          <w:sz w:val="20"/>
        </w:rPr>
      </w:pPr>
    </w:p>
    <w:p w:rsidR="0055535A" w:rsidRDefault="0055535A" w:rsidP="0055535A">
      <w:pPr>
        <w:jc w:val="both"/>
        <w:rPr>
          <w:rFonts w:eastAsia="Arial Unicode MS" w:cs="Arial"/>
          <w:sz w:val="20"/>
          <w:szCs w:val="20"/>
        </w:rPr>
      </w:pPr>
      <w:r>
        <w:rPr>
          <w:sz w:val="20"/>
          <w:szCs w:val="20"/>
          <w:lang w:val="fr-BE"/>
        </w:rPr>
        <w:t>En juin</w:t>
      </w:r>
      <w:r>
        <w:rPr>
          <w:sz w:val="20"/>
          <w:szCs w:val="20"/>
        </w:rPr>
        <w:t xml:space="preserve"> 2016, des dispositions temporaires relatives à la suspension des SMCL ont été prises par la représentation. Le pilotage traditionnellement assuré par la SMCL est assuré, d’une part, par un comité de concertation technique (CCT) dans lequel prennent part les représentants du MSPLS mais aussi d’autres parties prenantes concernées et, d’autre part, par un comité de validation interne (CVI) assuré par la représentation de la CTB et, si nécessaire, par un représentant de l’Ambassade de Belgique. C’est ainsi qu’un CVI a validé les réaménagements budgétaires qui étaient préconisés pour le volet PC.</w:t>
      </w:r>
    </w:p>
    <w:p w:rsidR="0055535A" w:rsidRDefault="0055535A" w:rsidP="0055535A">
      <w:pPr>
        <w:pStyle w:val="Default"/>
        <w:jc w:val="both"/>
        <w:rPr>
          <w:color w:val="auto"/>
          <w:sz w:val="20"/>
        </w:rPr>
      </w:pPr>
    </w:p>
    <w:p w:rsidR="0055535A" w:rsidRDefault="0055535A" w:rsidP="0055535A">
      <w:pPr>
        <w:pStyle w:val="Default"/>
        <w:jc w:val="both"/>
        <w:rPr>
          <w:color w:val="auto"/>
          <w:sz w:val="20"/>
          <w:szCs w:val="20"/>
        </w:rPr>
      </w:pPr>
      <w:r>
        <w:rPr>
          <w:color w:val="auto"/>
          <w:sz w:val="20"/>
        </w:rPr>
        <w:t xml:space="preserve">Les effets de toutes ces mesures se sont fait pleinement sentir en 2016. Malgré tout, </w:t>
      </w:r>
      <w:r>
        <w:rPr>
          <w:color w:val="auto"/>
          <w:sz w:val="20"/>
          <w:szCs w:val="20"/>
        </w:rPr>
        <w:t>les synergies entre les différents volets sont réelles et ceux-ci sont restés bien articulés et bien coordonnés durant l’année 2016.</w:t>
      </w:r>
    </w:p>
    <w:p w:rsidR="0055535A" w:rsidRDefault="0055535A" w:rsidP="0055535A">
      <w:pPr>
        <w:pStyle w:val="Default"/>
        <w:jc w:val="both"/>
        <w:rPr>
          <w:color w:val="auto"/>
          <w:sz w:val="20"/>
          <w:szCs w:val="20"/>
        </w:rPr>
      </w:pPr>
    </w:p>
    <w:p w:rsidR="0055535A" w:rsidRDefault="0055535A" w:rsidP="0055535A">
      <w:pPr>
        <w:jc w:val="both"/>
        <w:rPr>
          <w:rFonts w:cs="Arial"/>
          <w:sz w:val="20"/>
          <w:szCs w:val="20"/>
        </w:rPr>
      </w:pPr>
      <w:r>
        <w:rPr>
          <w:rFonts w:cs="Arial"/>
          <w:sz w:val="20"/>
          <w:szCs w:val="20"/>
        </w:rPr>
        <w:t>De façon globale, en 2016 tous les volets du PAISS ont connu une amélioration de leurs taux d’exécution :</w:t>
      </w:r>
    </w:p>
    <w:p w:rsidR="0055535A" w:rsidRDefault="0055535A" w:rsidP="0055535A">
      <w:pPr>
        <w:pStyle w:val="Paragraphedeliste"/>
        <w:numPr>
          <w:ilvl w:val="0"/>
          <w:numId w:val="21"/>
        </w:numPr>
        <w:snapToGrid/>
        <w:jc w:val="both"/>
        <w:rPr>
          <w:rFonts w:ascii="Arial" w:hAnsi="Arial" w:cs="Arial"/>
          <w:sz w:val="20"/>
          <w:szCs w:val="20"/>
        </w:rPr>
      </w:pPr>
      <w:r>
        <w:rPr>
          <w:rFonts w:ascii="Arial" w:hAnsi="Arial" w:cs="Arial"/>
          <w:sz w:val="20"/>
          <w:szCs w:val="20"/>
        </w:rPr>
        <w:t>Les volets 1 à 3 ont été finalisés pour atteindre un taux d’exécution de 99%. Le solde disponible correspond, d’une part, à la contribution IS de 95.000 Euros liée au financement de 1 million d’euros de la Coopération Suisse et, d’autre part, au reliquat budgétaire en cogestion de 28.956 Euros qui ne pouvait plus être utilisé suite à la décision du changement du mode d’intervention en octobre 2015.</w:t>
      </w:r>
    </w:p>
    <w:p w:rsidR="0055535A" w:rsidRDefault="0055535A" w:rsidP="0055535A">
      <w:pPr>
        <w:pStyle w:val="Paragraphedeliste"/>
        <w:numPr>
          <w:ilvl w:val="0"/>
          <w:numId w:val="21"/>
        </w:numPr>
        <w:snapToGrid/>
        <w:jc w:val="both"/>
        <w:rPr>
          <w:rFonts w:ascii="Arial" w:hAnsi="Arial" w:cs="Arial"/>
          <w:sz w:val="20"/>
          <w:szCs w:val="20"/>
        </w:rPr>
      </w:pPr>
      <w:r>
        <w:rPr>
          <w:rFonts w:ascii="Arial" w:hAnsi="Arial" w:cs="Arial"/>
          <w:sz w:val="20"/>
          <w:szCs w:val="20"/>
        </w:rPr>
        <w:t>Le volet 4 a eu un taux d’exécution de 53 % soit une augmentation de 14 % par rapport à 2015 bien que le volume des dépenses en 2016 a sensiblement baissé par rapport à 2015. L’informatisation de 9 hôpitaux supplémentaires a été lancée en fin d’année 2016 mais les effets sur le taux d’exécution ne se feront sentir qu’en 2017.</w:t>
      </w:r>
    </w:p>
    <w:p w:rsidR="0055535A" w:rsidRDefault="0055535A" w:rsidP="0055535A">
      <w:pPr>
        <w:pStyle w:val="Paragraphedeliste"/>
        <w:numPr>
          <w:ilvl w:val="0"/>
          <w:numId w:val="21"/>
        </w:numPr>
        <w:snapToGrid/>
        <w:jc w:val="both"/>
        <w:rPr>
          <w:rFonts w:ascii="Arial" w:hAnsi="Arial" w:cs="Arial"/>
          <w:sz w:val="20"/>
          <w:szCs w:val="20"/>
        </w:rPr>
      </w:pPr>
      <w:r>
        <w:rPr>
          <w:rFonts w:ascii="Arial" w:hAnsi="Arial" w:cs="Arial"/>
          <w:sz w:val="20"/>
          <w:szCs w:val="20"/>
        </w:rPr>
        <w:t>Le volet 5 qui a pratiquement démarré en 2015 a doublé son taux d’exécution pour passer à 10% en 2016 malgré son caractère institutionnel et les raisons ci-dessus évoquées.</w:t>
      </w:r>
    </w:p>
    <w:p w:rsidR="0055535A" w:rsidRDefault="0055535A" w:rsidP="0055535A">
      <w:pPr>
        <w:pStyle w:val="Paragraphedeliste"/>
        <w:spacing w:after="0" w:line="240" w:lineRule="auto"/>
        <w:ind w:left="360"/>
        <w:jc w:val="both"/>
        <w:rPr>
          <w:rFonts w:ascii="Arial" w:hAnsi="Arial"/>
          <w:sz w:val="20"/>
          <w:highlight w:val="yellow"/>
        </w:rPr>
      </w:pPr>
    </w:p>
    <w:p w:rsidR="0055535A" w:rsidRDefault="00367A16" w:rsidP="00367A16">
      <w:pPr>
        <w:pStyle w:val="Titre3"/>
        <w:numPr>
          <w:ilvl w:val="0"/>
          <w:numId w:val="0"/>
        </w:numPr>
        <w:jc w:val="both"/>
        <w:rPr>
          <w:rFonts w:cs="Arial"/>
          <w:sz w:val="24"/>
        </w:rPr>
      </w:pPr>
      <w:bookmarkStart w:id="62" w:name="_Toc305765853"/>
      <w:bookmarkStart w:id="63" w:name="_Toc370814198"/>
      <w:bookmarkStart w:id="64" w:name="_Toc370814274"/>
      <w:bookmarkStart w:id="65" w:name="_Toc475972150"/>
      <w:r>
        <w:t xml:space="preserve">        </w:t>
      </w:r>
      <w:r w:rsidR="0055535A">
        <w:t xml:space="preserve">2.1.4 </w:t>
      </w:r>
      <w:bookmarkStart w:id="66" w:name="_Toc411938803"/>
      <w:r w:rsidR="0055535A">
        <w:t>Contexte HARMO</w:t>
      </w:r>
      <w:bookmarkEnd w:id="62"/>
      <w:bookmarkEnd w:id="63"/>
      <w:bookmarkEnd w:id="64"/>
      <w:bookmarkEnd w:id="65"/>
      <w:bookmarkEnd w:id="66"/>
      <w:r w:rsidR="0055535A">
        <w:tab/>
      </w:r>
      <w:r w:rsidR="0055535A">
        <w:tab/>
      </w:r>
      <w:r w:rsidR="0055535A">
        <w:tab/>
      </w:r>
      <w:r w:rsidR="0055535A">
        <w:tab/>
      </w:r>
    </w:p>
    <w:p w:rsidR="0055535A" w:rsidRDefault="0055535A" w:rsidP="0055535A">
      <w:pPr>
        <w:jc w:val="both"/>
        <w:rPr>
          <w:rFonts w:cs="Arial"/>
          <w:sz w:val="20"/>
        </w:rPr>
      </w:pPr>
      <w:bookmarkStart w:id="67" w:name="_Toc370814275"/>
      <w:bookmarkStart w:id="68" w:name="_Toc370814199"/>
    </w:p>
    <w:p w:rsidR="0055535A" w:rsidRDefault="0055535A" w:rsidP="0055535A">
      <w:pPr>
        <w:jc w:val="both"/>
        <w:rPr>
          <w:rFonts w:cs="Arial"/>
          <w:sz w:val="20"/>
          <w:szCs w:val="20"/>
        </w:rPr>
      </w:pPr>
      <w:r>
        <w:rPr>
          <w:rFonts w:cs="Arial"/>
          <w:sz w:val="20"/>
        </w:rPr>
        <w:t xml:space="preserve">Avant la crise, le PAISS participait </w:t>
      </w:r>
      <w:r>
        <w:rPr>
          <w:rFonts w:cs="Arial"/>
          <w:sz w:val="20"/>
          <w:szCs w:val="20"/>
        </w:rPr>
        <w:t>activement aux réunions de coordination entre le MSPLS et les PTF, le Cadre de concertation des Partenaires pour la Santé et le Développement (CPSD) et ses différents Groupes Thématiques. Il participait à la coordination de certaines activités importantes comme l’élaboration de la Politique Nationale de santé. Il en est de même de la préparation de l’Enquête Démographique de Santé.</w:t>
      </w:r>
    </w:p>
    <w:p w:rsidR="0055535A" w:rsidRDefault="0055535A" w:rsidP="0055535A">
      <w:pPr>
        <w:jc w:val="both"/>
        <w:rPr>
          <w:rFonts w:cs="Arial"/>
          <w:sz w:val="20"/>
          <w:szCs w:val="20"/>
        </w:rPr>
      </w:pPr>
      <w:r>
        <w:rPr>
          <w:rFonts w:cs="Arial"/>
          <w:sz w:val="20"/>
          <w:szCs w:val="20"/>
        </w:rPr>
        <w:t>Depuis le début de la crise en 2015, cette coordination est en souffrance due au fait que beaucoup de PTF ont retiré leurs appuis et que la Belgique s’est quelque peu désengagée de sa position de Chef de File, qu’elle occupe depuis des années.</w:t>
      </w:r>
    </w:p>
    <w:p w:rsidR="0055535A" w:rsidRDefault="0055535A" w:rsidP="0055535A">
      <w:pPr>
        <w:jc w:val="both"/>
        <w:rPr>
          <w:rFonts w:cs="Arial"/>
          <w:sz w:val="20"/>
          <w:szCs w:val="20"/>
        </w:rPr>
      </w:pPr>
      <w:r>
        <w:rPr>
          <w:rFonts w:cs="Arial"/>
          <w:sz w:val="20"/>
          <w:szCs w:val="20"/>
        </w:rPr>
        <w:t xml:space="preserve">Toute la dynamique créée par le programme PAISS et les autres intervenants au niveau du Ministère de la santé pour partager les stratégies d’approche s’est effondrée. </w:t>
      </w:r>
    </w:p>
    <w:p w:rsidR="0055535A" w:rsidRDefault="0055535A" w:rsidP="0055535A">
      <w:pPr>
        <w:jc w:val="both"/>
        <w:rPr>
          <w:rFonts w:cs="Arial"/>
          <w:sz w:val="20"/>
          <w:szCs w:val="20"/>
        </w:rPr>
      </w:pPr>
    </w:p>
    <w:p w:rsidR="0055535A" w:rsidRDefault="0055535A" w:rsidP="0055535A">
      <w:pPr>
        <w:jc w:val="both"/>
        <w:rPr>
          <w:rFonts w:cs="Arial"/>
          <w:sz w:val="20"/>
          <w:szCs w:val="20"/>
        </w:rPr>
      </w:pPr>
      <w:r>
        <w:rPr>
          <w:rFonts w:cs="Arial"/>
          <w:sz w:val="20"/>
          <w:szCs w:val="20"/>
        </w:rPr>
        <w:t>Il subsiste des synergies antérieures avec la Banque Mondiale qui a poursuivi son appui concerté au développement du FBP au niveau opérationnel alors que l’UNICEF, l’OMS et le FNUAP ont continué à participer aux coûts de mise à disposition des outils de collecte des données du SIS de routine. La collaboration étroite avec le projet Measure Evaluation de USAID a permis de mener des actions communes pour appuyer le SNIS : la préparation de la mise en place du SIS communautaire, la mise en place du DHIS2, la réalisation de l’enquête PRISM et bien d’autres activités de formations.</w:t>
      </w:r>
    </w:p>
    <w:p w:rsidR="0055535A" w:rsidRDefault="0055535A" w:rsidP="0055535A">
      <w:pPr>
        <w:jc w:val="both"/>
        <w:rPr>
          <w:rFonts w:cs="Arial"/>
          <w:sz w:val="20"/>
          <w:szCs w:val="20"/>
        </w:rPr>
      </w:pPr>
    </w:p>
    <w:p w:rsidR="0055535A" w:rsidRDefault="0055535A" w:rsidP="0055535A">
      <w:pPr>
        <w:pStyle w:val="Normalcentr"/>
        <w:jc w:val="both"/>
        <w:rPr>
          <w:rFonts w:ascii="Arial" w:hAnsi="Arial" w:cs="Arial"/>
          <w:iCs/>
          <w:sz w:val="20"/>
          <w:szCs w:val="20"/>
          <w:highlight w:val="cyan"/>
        </w:rPr>
      </w:pPr>
      <w:r>
        <w:rPr>
          <w:rFonts w:cs="Arial"/>
          <w:iCs/>
          <w:sz w:val="20"/>
          <w:szCs w:val="20"/>
          <w:highlight w:val="cyan"/>
        </w:rPr>
        <w:br w:type="page"/>
      </w:r>
    </w:p>
    <w:p w:rsidR="0055535A" w:rsidRDefault="0055535A" w:rsidP="0055535A">
      <w:pPr>
        <w:pStyle w:val="Titre2"/>
        <w:numPr>
          <w:ilvl w:val="0"/>
          <w:numId w:val="22"/>
        </w:numPr>
        <w:tabs>
          <w:tab w:val="left" w:pos="708"/>
        </w:tabs>
        <w:rPr>
          <w:sz w:val="28"/>
        </w:rPr>
      </w:pPr>
      <w:bookmarkStart w:id="69" w:name="_Toc475972151"/>
      <w:bookmarkStart w:id="70" w:name="_Toc411938804"/>
      <w:r>
        <w:t>Performance de l'outcome</w:t>
      </w:r>
      <w:bookmarkEnd w:id="67"/>
      <w:bookmarkEnd w:id="68"/>
      <w:bookmarkEnd w:id="69"/>
      <w:bookmarkEnd w:id="70"/>
      <w:r>
        <w:t xml:space="preserve"> </w:t>
      </w:r>
    </w:p>
    <w:p w:rsidR="0055535A" w:rsidRDefault="0055535A" w:rsidP="0055535A">
      <w:r>
        <w:rPr>
          <w:noProof/>
          <w:lang w:val="fr-BE" w:eastAsia="fr-BE"/>
        </w:rPr>
        <w:drawing>
          <wp:inline distT="0" distB="0" distL="0" distR="0">
            <wp:extent cx="4718050" cy="504825"/>
            <wp:effectExtent l="0" t="0" r="635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18050" cy="504825"/>
                    </a:xfrm>
                    <a:prstGeom prst="rect">
                      <a:avLst/>
                    </a:prstGeom>
                    <a:noFill/>
                    <a:ln>
                      <a:noFill/>
                    </a:ln>
                  </pic:spPr>
                </pic:pic>
              </a:graphicData>
            </a:graphic>
          </wp:inline>
        </w:drawing>
      </w:r>
    </w:p>
    <w:p w:rsidR="0055535A" w:rsidRDefault="0055535A" w:rsidP="0055535A"/>
    <w:p w:rsidR="0055535A" w:rsidRDefault="0055535A" w:rsidP="0055535A">
      <w:pPr>
        <w:pStyle w:val="Titre3"/>
        <w:spacing w:before="0"/>
        <w:ind w:firstLine="1134"/>
        <w:rPr>
          <w:rFonts w:eastAsia="Times New Roman" w:cs="Arial"/>
        </w:rPr>
      </w:pPr>
      <w:bookmarkStart w:id="71" w:name="_Toc305765856"/>
      <w:bookmarkStart w:id="72" w:name="_Toc370814200"/>
      <w:bookmarkStart w:id="73" w:name="_Toc370814276"/>
      <w:bookmarkStart w:id="74" w:name="_Toc475972152"/>
      <w:r>
        <w:t xml:space="preserve">2.2.1 </w:t>
      </w:r>
      <w:bookmarkStart w:id="75" w:name="_Toc411938805"/>
      <w:r>
        <w:t xml:space="preserve">Progrès </w:t>
      </w:r>
      <w:bookmarkEnd w:id="71"/>
      <w:r>
        <w:t>des indicateurs</w:t>
      </w:r>
      <w:bookmarkEnd w:id="72"/>
      <w:bookmarkEnd w:id="73"/>
      <w:bookmarkEnd w:id="74"/>
      <w:bookmarkEnd w:id="75"/>
    </w:p>
    <w:tbl>
      <w:tblPr>
        <w:tblW w:w="11490" w:type="dxa"/>
        <w:tblInd w:w="-2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560"/>
        <w:gridCol w:w="1561"/>
        <w:gridCol w:w="1702"/>
        <w:gridCol w:w="1702"/>
        <w:gridCol w:w="1703"/>
      </w:tblGrid>
      <w:tr w:rsidR="0055535A" w:rsidTr="0055535A">
        <w:trPr>
          <w:cantSplit/>
        </w:trPr>
        <w:tc>
          <w:tcPr>
            <w:tcW w:w="11483"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18"/>
                <w:szCs w:val="18"/>
              </w:rPr>
            </w:pPr>
            <w:r>
              <w:rPr>
                <w:b/>
                <w:sz w:val="18"/>
                <w:szCs w:val="18"/>
              </w:rPr>
              <w:t>Outcome :</w:t>
            </w:r>
            <w:r>
              <w:rPr>
                <w:sz w:val="18"/>
                <w:szCs w:val="18"/>
              </w:rPr>
              <w:t xml:space="preserve"> </w:t>
            </w:r>
            <w:r>
              <w:rPr>
                <w:b/>
                <w:sz w:val="18"/>
                <w:szCs w:val="18"/>
              </w:rPr>
              <w:t>Les prestations de santé au bénéfice de la population augmentent en quantité et en qualité grâce à un appui aux fonctions régaliennes du Ministère, à une efficience accrue des structures périphériques (en premier lieu dans la province de Kirundo et Muramvya) et à une amélioration des compétences et de la motivation du personnel médical</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Cs w:val="24"/>
              </w:rPr>
            </w:pPr>
            <w:r>
              <w:rPr>
                <w:rFonts w:ascii="Arial" w:hAnsi="Arial"/>
                <w:b/>
              </w:rPr>
              <w:t>Indicateurs</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 xml:space="preserve">Valeur de la </w:t>
            </w:r>
            <w:r>
              <w:rPr>
                <w:b/>
                <w:i/>
                <w:sz w:val="16"/>
              </w:rPr>
              <w:t>Baseline</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2014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b/>
                <w:sz w:val="16"/>
              </w:rPr>
            </w:pPr>
            <w:r>
              <w:rPr>
                <w:b/>
                <w:sz w:val="16"/>
              </w:rPr>
              <w:t>Valeur année N-1</w:t>
            </w:r>
          </w:p>
          <w:p w:rsidR="0055535A" w:rsidRDefault="0055535A">
            <w:pPr>
              <w:jc w:val="center"/>
              <w:rPr>
                <w:rFonts w:cs="Arial"/>
                <w:b/>
                <w:bCs/>
                <w:sz w:val="16"/>
              </w:rPr>
            </w:pPr>
            <w:r>
              <w:rPr>
                <w:b/>
                <w:sz w:val="16"/>
              </w:rPr>
              <w:t>2015</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b/>
                <w:sz w:val="16"/>
              </w:rPr>
            </w:pPr>
            <w:r>
              <w:rPr>
                <w:b/>
                <w:sz w:val="16"/>
              </w:rPr>
              <w:t>Valeur Année N 2016</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b/>
                <w:sz w:val="16"/>
              </w:rPr>
            </w:pPr>
            <w:r>
              <w:rPr>
                <w:b/>
                <w:sz w:val="16"/>
              </w:rPr>
              <w:t>Cible année N</w:t>
            </w:r>
          </w:p>
          <w:p w:rsidR="0055535A" w:rsidRDefault="0055535A">
            <w:pPr>
              <w:jc w:val="center"/>
              <w:rPr>
                <w:rFonts w:cs="Arial"/>
                <w:b/>
                <w:bCs/>
                <w:sz w:val="16"/>
              </w:rPr>
            </w:pPr>
            <w:r>
              <w:rPr>
                <w:b/>
                <w:sz w:val="16"/>
              </w:rPr>
              <w:t>= Cible finale</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Taux d'utilisation des consultations curatives (nombre de nouveau cas/an/habitant)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bCs/>
                <w:sz w:val="16"/>
                <w:szCs w:val="16"/>
              </w:rPr>
              <w:t>0,94</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1,60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sz w:val="16"/>
                <w:szCs w:val="16"/>
              </w:rPr>
              <w:t>1,58</w:t>
            </w:r>
          </w:p>
        </w:tc>
        <w:tc>
          <w:tcPr>
            <w:tcW w:w="1701" w:type="dxa"/>
            <w:tcBorders>
              <w:top w:val="single" w:sz="4" w:space="0" w:color="auto"/>
              <w:left w:val="single" w:sz="4" w:space="0" w:color="auto"/>
              <w:bottom w:val="single" w:sz="4" w:space="0" w:color="auto"/>
              <w:right w:val="single" w:sz="4" w:space="0" w:color="auto"/>
            </w:tcBorders>
          </w:tcPr>
          <w:p w:rsidR="0055535A" w:rsidRDefault="0055535A">
            <w:pPr>
              <w:jc w:val="center"/>
              <w:rPr>
                <w:rFonts w:cs="Arial"/>
                <w:sz w:val="16"/>
                <w:szCs w:val="16"/>
              </w:rPr>
            </w:pPr>
          </w:p>
          <w:p w:rsidR="0055535A" w:rsidRDefault="0055535A">
            <w:pPr>
              <w:jc w:val="center"/>
              <w:rPr>
                <w:rFonts w:cs="Arial"/>
                <w:sz w:val="16"/>
                <w:szCs w:val="16"/>
              </w:rPr>
            </w:pPr>
            <w:r>
              <w:rPr>
                <w:rFonts w:cs="Arial"/>
                <w:sz w:val="16"/>
                <w:szCs w:val="16"/>
              </w:rPr>
              <w:t>1,8</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≥1,00</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de DS ayant les médecins selon les normes (n=5)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bCs/>
                <w:sz w:val="16"/>
                <w:szCs w:val="16"/>
              </w:rPr>
              <w:t>ND</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79%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sz w:val="16"/>
                <w:szCs w:val="16"/>
              </w:rPr>
              <w:t>57%</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rFonts w:cs="Arial"/>
                <w:sz w:val="16"/>
                <w:szCs w:val="16"/>
              </w:rPr>
            </w:pPr>
            <w:r>
              <w:rPr>
                <w:rFonts w:cs="Arial"/>
                <w:sz w:val="16"/>
                <w:szCs w:val="16"/>
              </w:rPr>
              <w:t>63%</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50%</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de DS qui disposent d'un plan annuel validé au 4ème trimestre de l'année</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bCs/>
                <w:sz w:val="16"/>
                <w:szCs w:val="16"/>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100%                     (45/45)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sz w:val="16"/>
                <w:szCs w:val="16"/>
              </w:rPr>
              <w:t>&gt;90%</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rFonts w:cs="Arial"/>
                <w:sz w:val="16"/>
                <w:szCs w:val="16"/>
              </w:rPr>
            </w:pPr>
            <w:r>
              <w:rPr>
                <w:rFonts w:cs="Arial"/>
                <w:sz w:val="16"/>
                <w:szCs w:val="16"/>
              </w:rPr>
              <w:t>100%</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&gt;90%</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Nombre de DS qui réalisent 80% des supervisions des centres de santé</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bCs/>
                <w:sz w:val="16"/>
                <w:szCs w:val="16"/>
              </w:rPr>
              <w:t>43</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données pas disponibles</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rFonts w:cs="Arial"/>
                <w:sz w:val="16"/>
                <w:szCs w:val="16"/>
              </w:rPr>
            </w:pPr>
            <w:r>
              <w:rPr>
                <w:rFonts w:cs="Arial"/>
                <w:sz w:val="16"/>
                <w:szCs w:val="16"/>
              </w:rPr>
              <w:t>données pas disponibles</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&gt;40</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du budget national au MSPLS (22) allouée aux DS à travers la CAM, le FBP et les subventions (DS et Hôpital de district)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bCs/>
                <w:sz w:val="16"/>
                <w:szCs w:val="16"/>
              </w:rPr>
              <w:t>34% (23.636.448.765 /70.079.200.081)</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38% (32.287.841.834 /86.076.056.620)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36% (29.809.682.725 /82.463.374.178)</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rFonts w:cs="Arial"/>
                <w:sz w:val="16"/>
                <w:szCs w:val="16"/>
              </w:rPr>
            </w:pPr>
            <w:r>
              <w:rPr>
                <w:rFonts w:cs="Arial"/>
                <w:sz w:val="16"/>
                <w:szCs w:val="16"/>
              </w:rPr>
              <w:t>39% (32263183293/82463374178)</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≥résultat 2014</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La contribution directe du patient au niveau de l'hôpital de district (Kirundo et Muramvya)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bCs/>
                <w:sz w:val="16"/>
                <w:szCs w:val="16"/>
              </w:rPr>
              <w:t>11.684 FBU</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3.655 FBU</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4609 FBU</w:t>
            </w:r>
          </w:p>
        </w:tc>
        <w:tc>
          <w:tcPr>
            <w:tcW w:w="1701" w:type="dxa"/>
            <w:tcBorders>
              <w:top w:val="single" w:sz="4" w:space="0" w:color="auto"/>
              <w:left w:val="single" w:sz="4" w:space="0" w:color="auto"/>
              <w:bottom w:val="single" w:sz="4" w:space="0" w:color="auto"/>
              <w:right w:val="single" w:sz="4" w:space="0" w:color="auto"/>
            </w:tcBorders>
          </w:tcPr>
          <w:p w:rsidR="0055535A" w:rsidRDefault="0055535A">
            <w:pPr>
              <w:rPr>
                <w:rFonts w:cs="Arial"/>
                <w:sz w:val="16"/>
                <w:szCs w:val="16"/>
              </w:rPr>
            </w:pPr>
            <w:r>
              <w:rPr>
                <w:rFonts w:cs="Arial"/>
                <w:sz w:val="16"/>
                <w:szCs w:val="16"/>
              </w:rPr>
              <w:t>6800 FBU à Kirundo et 3764 FBU à Muramvya</w:t>
            </w:r>
          </w:p>
          <w:p w:rsidR="0055535A" w:rsidRDefault="0055535A">
            <w:pPr>
              <w:rPr>
                <w:rFonts w:cs="Arial"/>
                <w:sz w:val="16"/>
                <w:szCs w:val="16"/>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≤résultat 2014</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des CDS ayant les infirmiers A2 selon les normes (n=2)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bCs/>
                <w:sz w:val="16"/>
                <w:szCs w:val="16"/>
              </w:rPr>
              <w:t>normes en révision</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49%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54%</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rFonts w:cs="Arial"/>
                <w:sz w:val="16"/>
                <w:szCs w:val="16"/>
              </w:rPr>
            </w:pPr>
            <w:r>
              <w:rPr>
                <w:rFonts w:cs="Arial"/>
                <w:sz w:val="16"/>
                <w:szCs w:val="16"/>
              </w:rPr>
              <w:t>69,5%</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60%</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d'accouchements assistés par un personnel qualifié</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bCs/>
                <w:sz w:val="16"/>
                <w:szCs w:val="16"/>
              </w:rPr>
              <w:t>66,3%</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76,3%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76,3%</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rFonts w:cs="Arial"/>
                <w:sz w:val="16"/>
                <w:szCs w:val="16"/>
              </w:rPr>
            </w:pPr>
            <w:r>
              <w:rPr>
                <w:rFonts w:cs="Arial"/>
                <w:sz w:val="16"/>
                <w:szCs w:val="16"/>
              </w:rPr>
              <w:t>77,7%</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80,0%</w:t>
            </w:r>
          </w:p>
        </w:tc>
      </w:tr>
      <w:tr w:rsidR="0055535A" w:rsidTr="0055535A">
        <w:trPr>
          <w:trHeight w:val="620"/>
        </w:trPr>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Taux d'utilisation de la PF</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sz w:val="16"/>
                <w:szCs w:val="16"/>
              </w:rPr>
            </w:pPr>
            <w:r>
              <w:rPr>
                <w:rFonts w:cs="Arial"/>
                <w:bCs/>
                <w:sz w:val="16"/>
                <w:szCs w:val="16"/>
              </w:rPr>
              <w:t xml:space="preserve">    21,9%     (358.648 / 1.639.558)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entre 32% et 34%</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rFonts w:cs="Arial"/>
                <w:sz w:val="16"/>
                <w:szCs w:val="16"/>
              </w:rPr>
            </w:pPr>
            <w:r>
              <w:rPr>
                <w:rFonts w:cs="Arial"/>
                <w:sz w:val="16"/>
                <w:szCs w:val="16"/>
              </w:rPr>
              <w:t>38%</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30,0%</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Taux de CDS qui utilisent correctement le canevas standardisé (indicateur n° 46 du PNDS II)</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82%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rFonts w:cs="Arial"/>
                <w:sz w:val="16"/>
                <w:szCs w:val="16"/>
              </w:rPr>
            </w:pPr>
            <w:r>
              <w:rPr>
                <w:rFonts w:cs="Arial"/>
                <w:sz w:val="16"/>
                <w:szCs w:val="16"/>
              </w:rPr>
              <w:t>Enquête PRISM en cours</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100%</w:t>
            </w:r>
          </w:p>
        </w:tc>
      </w:tr>
      <w:tr w:rsidR="0055535A" w:rsidTr="0055535A">
        <w:tc>
          <w:tcPr>
            <w:tcW w:w="32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Niveau de performance du SNIS dans l’utilisation de l’information (indicateur n° 47 du PNDS II)</w:t>
            </w:r>
          </w:p>
        </w:tc>
        <w:tc>
          <w:tcPr>
            <w:tcW w:w="155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68%</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w:t>
            </w:r>
          </w:p>
        </w:tc>
        <w:tc>
          <w:tcPr>
            <w:tcW w:w="1701" w:type="dxa"/>
            <w:tcBorders>
              <w:top w:val="single" w:sz="4" w:space="0" w:color="auto"/>
              <w:left w:val="single" w:sz="4" w:space="0" w:color="auto"/>
              <w:bottom w:val="single" w:sz="4" w:space="0" w:color="auto"/>
              <w:right w:val="single" w:sz="4" w:space="0" w:color="auto"/>
            </w:tcBorders>
            <w:hideMark/>
          </w:tcPr>
          <w:p w:rsidR="0055535A" w:rsidRDefault="0055535A">
            <w:pPr>
              <w:jc w:val="center"/>
              <w:rPr>
                <w:rFonts w:cs="Arial"/>
                <w:sz w:val="16"/>
                <w:szCs w:val="16"/>
              </w:rPr>
            </w:pPr>
            <w:r>
              <w:rPr>
                <w:rFonts w:cs="Arial"/>
                <w:sz w:val="16"/>
                <w:szCs w:val="16"/>
              </w:rPr>
              <w:t>Enquête PRISM en cours</w:t>
            </w:r>
          </w:p>
        </w:tc>
        <w:tc>
          <w:tcPr>
            <w:tcW w:w="170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6"/>
                <w:szCs w:val="16"/>
              </w:rPr>
            </w:pPr>
            <w:r>
              <w:rPr>
                <w:rFonts w:cs="Arial"/>
                <w:sz w:val="16"/>
                <w:szCs w:val="16"/>
              </w:rPr>
              <w:t>85%</w:t>
            </w:r>
          </w:p>
        </w:tc>
      </w:tr>
    </w:tbl>
    <w:p w:rsidR="0055535A" w:rsidRDefault="0055535A" w:rsidP="0055535A">
      <w:pPr>
        <w:rPr>
          <w:rFonts w:cs="Arial"/>
          <w:iCs/>
          <w:sz w:val="18"/>
          <w:szCs w:val="18"/>
        </w:rPr>
      </w:pPr>
    </w:p>
    <w:p w:rsidR="0055535A" w:rsidRDefault="0055535A" w:rsidP="0055535A">
      <w:pPr>
        <w:rPr>
          <w:rFonts w:cs="Arial"/>
          <w:iCs/>
          <w:sz w:val="18"/>
          <w:szCs w:val="18"/>
        </w:rPr>
      </w:pPr>
      <w:r>
        <w:rPr>
          <w:rFonts w:cs="Arial"/>
          <w:iCs/>
          <w:sz w:val="18"/>
          <w:szCs w:val="18"/>
        </w:rPr>
        <w:t>*Evaluation par enquête</w:t>
      </w:r>
    </w:p>
    <w:p w:rsidR="0055535A" w:rsidRDefault="0055535A" w:rsidP="0055535A">
      <w:pPr>
        <w:rPr>
          <w:rFonts w:ascii="Segoe UI Symbol" w:hAnsi="Segoe UI Symbol" w:cs="Arial"/>
          <w:iCs/>
          <w:sz w:val="18"/>
          <w:szCs w:val="18"/>
        </w:rPr>
      </w:pPr>
    </w:p>
    <w:p w:rsidR="0055535A" w:rsidRDefault="0055535A" w:rsidP="00367A16">
      <w:pPr>
        <w:pStyle w:val="Titre3"/>
        <w:numPr>
          <w:ilvl w:val="0"/>
          <w:numId w:val="0"/>
        </w:numPr>
        <w:rPr>
          <w:sz w:val="24"/>
        </w:rPr>
      </w:pPr>
      <w:bookmarkStart w:id="76" w:name="_Toc370814201"/>
      <w:bookmarkStart w:id="77" w:name="_Toc370814277"/>
      <w:bookmarkStart w:id="78" w:name="_Toc475972153"/>
      <w:r>
        <w:t xml:space="preserve">2.2.2 </w:t>
      </w:r>
      <w:bookmarkStart w:id="79" w:name="_Toc411938806"/>
      <w:r>
        <w:t>Analyse des progrès réalisés</w:t>
      </w:r>
      <w:bookmarkEnd w:id="76"/>
      <w:bookmarkEnd w:id="77"/>
      <w:bookmarkEnd w:id="78"/>
      <w:bookmarkEnd w:id="79"/>
    </w:p>
    <w:p w:rsidR="0055535A" w:rsidRDefault="0055535A" w:rsidP="0055535A">
      <w:pPr>
        <w:jc w:val="both"/>
        <w:rPr>
          <w:i/>
          <w:sz w:val="20"/>
        </w:rPr>
      </w:pPr>
      <w:bookmarkStart w:id="80" w:name="_Toc370814278"/>
      <w:bookmarkStart w:id="81" w:name="_Toc370814202"/>
      <w:r>
        <w:rPr>
          <w:sz w:val="20"/>
          <w:szCs w:val="20"/>
        </w:rPr>
        <w:t xml:space="preserve">De manière générale, les onze indicateurs monitorés se sont améliorés par rapport à l’année 2015. </w:t>
      </w:r>
      <w:r>
        <w:rPr>
          <w:sz w:val="20"/>
        </w:rPr>
        <w:t xml:space="preserve">Certains ont atteint leur cible, d’autres ont montré une nette tendance vers une évolution positive, voire une amélioration significative. </w:t>
      </w:r>
    </w:p>
    <w:p w:rsidR="0055535A" w:rsidRDefault="0055535A" w:rsidP="0055535A">
      <w:pPr>
        <w:jc w:val="both"/>
        <w:rPr>
          <w:sz w:val="20"/>
          <w:szCs w:val="20"/>
        </w:rPr>
      </w:pPr>
      <w:r>
        <w:rPr>
          <w:sz w:val="20"/>
          <w:szCs w:val="20"/>
        </w:rPr>
        <w:t>L’explication probable est la situation sécuritaire qui s’est quelque peu améliorée et une adaptation au vécu quotidien.</w:t>
      </w:r>
    </w:p>
    <w:p w:rsidR="0055535A" w:rsidRDefault="0055535A" w:rsidP="0055535A">
      <w:pPr>
        <w:pStyle w:val="Illustration"/>
        <w:suppressLineNumbers w:val="0"/>
        <w:spacing w:before="0" w:after="0"/>
        <w:jc w:val="both"/>
        <w:rPr>
          <w:i w:val="0"/>
          <w:sz w:val="20"/>
        </w:rPr>
      </w:pPr>
      <w:r>
        <w:rPr>
          <w:i w:val="0"/>
          <w:sz w:val="20"/>
        </w:rPr>
        <w:t xml:space="preserve">Ce constat doit néanmoins être nuancé par quelques réserves. D’abord, la plupart des indicateurs d’outcome sont des indicateurs </w:t>
      </w:r>
      <w:r>
        <w:rPr>
          <w:rFonts w:cs="Arial"/>
          <w:i w:val="0"/>
          <w:sz w:val="20"/>
          <w:szCs w:val="20"/>
        </w:rPr>
        <w:t>systémiques</w:t>
      </w:r>
      <w:r>
        <w:rPr>
          <w:i w:val="0"/>
        </w:rPr>
        <w:t xml:space="preserve"> </w:t>
      </w:r>
      <w:r>
        <w:rPr>
          <w:i w:val="0"/>
          <w:sz w:val="20"/>
        </w:rPr>
        <w:t>du PNDS II qui sont influencés par d’autres facteurs et d’autres intervenants. Ce PNDS II aurait dû être révisé en 2016 pour évoluer vers sa 3</w:t>
      </w:r>
      <w:r>
        <w:rPr>
          <w:i w:val="0"/>
          <w:sz w:val="20"/>
          <w:vertAlign w:val="superscript"/>
        </w:rPr>
        <w:t>ème</w:t>
      </w:r>
      <w:r>
        <w:rPr>
          <w:i w:val="0"/>
          <w:sz w:val="20"/>
        </w:rPr>
        <w:t xml:space="preserve"> génération mais cela n’a pas pu se faire dû au contexte socio politique du pays. Cette révision aurait peut-être permis de réviser les cibles. Les valeurs de certains indicateurs sont aussi provisoires car les rapports statistiques de 2016 ne sont pas encore validés.  </w:t>
      </w:r>
    </w:p>
    <w:p w:rsidR="0055535A" w:rsidRDefault="0055535A" w:rsidP="0055535A">
      <w:pPr>
        <w:pStyle w:val="Illustration"/>
        <w:suppressLineNumbers w:val="0"/>
        <w:spacing w:before="0" w:after="0"/>
        <w:jc w:val="both"/>
        <w:rPr>
          <w:i w:val="0"/>
          <w:sz w:val="20"/>
        </w:rPr>
      </w:pPr>
    </w:p>
    <w:p w:rsidR="0055535A" w:rsidRDefault="0055535A" w:rsidP="0055535A">
      <w:pPr>
        <w:pStyle w:val="Illustration"/>
        <w:suppressLineNumbers w:val="0"/>
        <w:spacing w:before="0" w:after="0"/>
        <w:jc w:val="both"/>
        <w:rPr>
          <w:i w:val="0"/>
          <w:sz w:val="20"/>
        </w:rPr>
      </w:pPr>
      <w:r>
        <w:rPr>
          <w:i w:val="0"/>
          <w:sz w:val="20"/>
        </w:rPr>
        <w:t>La revue de ces différents indicateurs renseigne que :</w:t>
      </w:r>
    </w:p>
    <w:p w:rsidR="0055535A" w:rsidRDefault="0055535A" w:rsidP="0055535A">
      <w:pPr>
        <w:jc w:val="both"/>
        <w:rPr>
          <w:rFonts w:cs="Arial"/>
          <w:sz w:val="20"/>
          <w:szCs w:val="20"/>
        </w:rPr>
      </w:pPr>
    </w:p>
    <w:p w:rsidR="0055535A" w:rsidRDefault="0055535A" w:rsidP="0055535A">
      <w:pPr>
        <w:pStyle w:val="Illustration"/>
        <w:numPr>
          <w:ilvl w:val="0"/>
          <w:numId w:val="23"/>
        </w:numPr>
        <w:suppressLineNumbers w:val="0"/>
        <w:spacing w:before="0" w:after="0"/>
        <w:ind w:left="284" w:hanging="284"/>
        <w:jc w:val="both"/>
        <w:rPr>
          <w:i w:val="0"/>
          <w:sz w:val="20"/>
        </w:rPr>
      </w:pPr>
      <w:r>
        <w:rPr>
          <w:i w:val="0"/>
          <w:sz w:val="20"/>
        </w:rPr>
        <w:t>Le taux d’utilisation des consultations curatives a évolué favorablement depuis plusieurs années. Cette amélioration est largement imputable à l’introduction de la gratuité des soins, au FBP et à la CAM. L’augmentation de la disponibilité du personnel qualifié dans les Formations Sanitaires contribue aussi à l’utilisation de services. Les 3 dernières années, l’indicateur s’était stabilisé autour de 1,6 consultations par an par habitant. Cette année il approche les 2 NC/an/habitant, ce qui est un niveau plus que satisfaisant.</w:t>
      </w:r>
    </w:p>
    <w:p w:rsidR="0055535A" w:rsidRDefault="0055535A" w:rsidP="0055535A">
      <w:pPr>
        <w:pStyle w:val="Illustration"/>
        <w:numPr>
          <w:ilvl w:val="0"/>
          <w:numId w:val="23"/>
        </w:numPr>
        <w:suppressLineNumbers w:val="0"/>
        <w:spacing w:before="0" w:after="0"/>
        <w:ind w:left="284" w:hanging="284"/>
        <w:jc w:val="both"/>
        <w:rPr>
          <w:i w:val="0"/>
          <w:sz w:val="20"/>
        </w:rPr>
      </w:pPr>
      <w:r>
        <w:rPr>
          <w:i w:val="0"/>
          <w:sz w:val="20"/>
        </w:rPr>
        <w:t>Les deux indicateurs concernant les ressources humaines dans le secteur sont la proportion de DS ayant les médecins selon les normes et la proportion des CDS ayant les infirmiers A2 selon les normes. Le 1</w:t>
      </w:r>
      <w:r>
        <w:rPr>
          <w:i w:val="0"/>
          <w:sz w:val="20"/>
          <w:vertAlign w:val="superscript"/>
        </w:rPr>
        <w:t>er</w:t>
      </w:r>
      <w:r>
        <w:rPr>
          <w:i w:val="0"/>
          <w:sz w:val="20"/>
        </w:rPr>
        <w:t xml:space="preserve"> indicateur a déjà atteint la cible depuis 2014 tandis que le 2</w:t>
      </w:r>
      <w:r>
        <w:rPr>
          <w:i w:val="0"/>
          <w:sz w:val="20"/>
          <w:vertAlign w:val="superscript"/>
        </w:rPr>
        <w:t>ème</w:t>
      </w:r>
      <w:r>
        <w:rPr>
          <w:i w:val="0"/>
          <w:sz w:val="20"/>
        </w:rPr>
        <w:t xml:space="preserve"> a pu atteindre sa cible en 2016. Il faut toutefois noter qu’une amélioration est nécessaire en ce qui concerne le niveau des salaires des médecins qui reste insuffisant, la fidélisation et motivation à leur poste ainsi que le travail clinique du personnel qui doit être plus valorisé. Enfin, la présence effective des médecins dans les districts sanitaires reste aussi à améliorer.</w:t>
      </w:r>
    </w:p>
    <w:p w:rsidR="0055535A" w:rsidRDefault="0055535A" w:rsidP="0055535A">
      <w:pPr>
        <w:pStyle w:val="Illustration"/>
        <w:numPr>
          <w:ilvl w:val="0"/>
          <w:numId w:val="23"/>
        </w:numPr>
        <w:suppressLineNumbers w:val="0"/>
        <w:spacing w:before="0" w:after="0"/>
        <w:ind w:left="284" w:hanging="284"/>
        <w:jc w:val="both"/>
        <w:rPr>
          <w:i w:val="0"/>
          <w:sz w:val="20"/>
        </w:rPr>
      </w:pPr>
      <w:r>
        <w:rPr>
          <w:i w:val="0"/>
          <w:sz w:val="20"/>
        </w:rPr>
        <w:t>Depuis 2014, les processus de planification ont été standardisés et la validation des plans a été décentralisée vers le niveau provincial (au lieu de la DGP du ministère). Ainsi tous les DS disposent avant la fin d’année d’un plan annuel validé.</w:t>
      </w:r>
    </w:p>
    <w:p w:rsidR="0055535A" w:rsidRDefault="0055535A" w:rsidP="0055535A">
      <w:pPr>
        <w:pStyle w:val="Illustration"/>
        <w:numPr>
          <w:ilvl w:val="0"/>
          <w:numId w:val="23"/>
        </w:numPr>
        <w:suppressLineNumbers w:val="0"/>
        <w:spacing w:before="0" w:after="0"/>
        <w:ind w:left="284" w:hanging="284"/>
        <w:jc w:val="both"/>
        <w:rPr>
          <w:i w:val="0"/>
          <w:sz w:val="20"/>
        </w:rPr>
      </w:pPr>
      <w:r>
        <w:rPr>
          <w:i w:val="0"/>
          <w:sz w:val="20"/>
        </w:rPr>
        <w:t xml:space="preserve">Le nombre de DS qui réalisent 80% des supervisions des centres de santé s’est amélioré. Plusieurs facteurs l’expliquent parmi lesquels les formations des Equipes Cadres de District en APP, la complétude des ECD et le FBP qui achète l’indicateur. </w:t>
      </w:r>
    </w:p>
    <w:p w:rsidR="0055535A" w:rsidRDefault="0055535A" w:rsidP="0055535A">
      <w:pPr>
        <w:pStyle w:val="Illustration"/>
        <w:numPr>
          <w:ilvl w:val="0"/>
          <w:numId w:val="23"/>
        </w:numPr>
        <w:suppressLineNumbers w:val="0"/>
        <w:spacing w:before="0" w:after="0"/>
        <w:ind w:left="284" w:hanging="284"/>
        <w:jc w:val="both"/>
        <w:rPr>
          <w:i w:val="0"/>
          <w:sz w:val="20"/>
        </w:rPr>
      </w:pPr>
      <w:r>
        <w:rPr>
          <w:i w:val="0"/>
          <w:sz w:val="20"/>
        </w:rPr>
        <w:t>Un autre aspect des prestations de santé est l’accessibilité financière, qui est monitorée au PAISS grâce à deux indicateurs. Le premier est la proportion du budget national au MSPLS allouée aux Districts Sanitaires qui est autour de 40%. Malgré une baisse de cette proportion, le résultat reste très satisfaisant comparé à d’autres pays dans la région où le niveau opérationnel est souvent largement sous-financé. Le deuxième indicateur, la contribution directe du patient au niveau de l’hôpital de district est difficile à interpréter. Elle avait diminué fortement grâce à l’introduction de la CAM, mais tend à remonter ces dernières années. Divers facteurs peuvent expliquer cette augmentation parmi lesquels l’accumulation des créances liées à la CAM. Mais cela laisse penser que l’accessibilité financière de la population pour les soins hospitaliers n’est toujours pas garantie. Même si la CAM reste utilisée dans toutes les formations sanitaires publiques, le contenu des prestations couvertes va en diminuant. Les médicaments par exemple sont de moins en moins couverts.</w:t>
      </w:r>
    </w:p>
    <w:p w:rsidR="0055535A" w:rsidRDefault="0055535A" w:rsidP="0055535A">
      <w:pPr>
        <w:pStyle w:val="Illustration"/>
        <w:numPr>
          <w:ilvl w:val="0"/>
          <w:numId w:val="23"/>
        </w:numPr>
        <w:suppressLineNumbers w:val="0"/>
        <w:spacing w:before="0" w:after="0"/>
        <w:ind w:left="284" w:hanging="284"/>
        <w:jc w:val="both"/>
        <w:rPr>
          <w:i w:val="0"/>
          <w:sz w:val="20"/>
        </w:rPr>
      </w:pPr>
      <w:r>
        <w:rPr>
          <w:i w:val="0"/>
          <w:sz w:val="20"/>
        </w:rPr>
        <w:t>La proportion d’accouchements assistés par un personnel qualifié a continué d’augmenter se rapprochant progressivement cette année de la cible de 80%. L’augmentation du personnel qualifié, la disponibilité des ambulances et l’ouverture des nouveaux CDS ont certainement contribué à ce résultat.</w:t>
      </w:r>
    </w:p>
    <w:p w:rsidR="0055535A" w:rsidRDefault="0055535A" w:rsidP="0055535A">
      <w:pPr>
        <w:pStyle w:val="Illustration"/>
        <w:numPr>
          <w:ilvl w:val="0"/>
          <w:numId w:val="23"/>
        </w:numPr>
        <w:suppressLineNumbers w:val="0"/>
        <w:spacing w:before="0" w:after="0"/>
        <w:ind w:left="284" w:hanging="284"/>
        <w:jc w:val="both"/>
        <w:rPr>
          <w:i w:val="0"/>
          <w:sz w:val="20"/>
        </w:rPr>
      </w:pPr>
      <w:r>
        <w:rPr>
          <w:i w:val="0"/>
          <w:sz w:val="20"/>
        </w:rPr>
        <w:t xml:space="preserve">Le taux d’utilisation de la Planification Familiale a progressé et a atteint sa cible (&gt;30%). Il reste bas pour avoir un impact sur la croissance démographique. Plusieurs stratégies ont été mises en place pour stimuler la PF : les TPS peuvent désormais administrer les injections Dépo-Provera. On a également opérationnalisé des centres secondaires autour des centres confessionnels qui n’offrent pas la contraception moderne. </w:t>
      </w:r>
    </w:p>
    <w:p w:rsidR="0055535A" w:rsidRDefault="0055535A" w:rsidP="0055535A">
      <w:pPr>
        <w:pStyle w:val="Illustration"/>
        <w:numPr>
          <w:ilvl w:val="0"/>
          <w:numId w:val="23"/>
        </w:numPr>
        <w:suppressLineNumbers w:val="0"/>
        <w:spacing w:before="0" w:after="0"/>
        <w:ind w:left="284" w:hanging="284"/>
        <w:jc w:val="both"/>
        <w:rPr>
          <w:i w:val="0"/>
          <w:sz w:val="20"/>
        </w:rPr>
      </w:pPr>
      <w:r>
        <w:rPr>
          <w:i w:val="0"/>
          <w:sz w:val="20"/>
        </w:rPr>
        <w:t>Pour les deux derniers indicateurs relatifs au SNIS, les données ne sont pas disponibles parce qu’elles doivent être générées par des enquêtes. Toutefois, l’évaluation à mi-parcours du PAISS réalisé en décembre 2016 a montré qu’il y a eu amélioration des performances du SNIS. Les résultats de l’évaluation par l’outil PRISM qui seront disponibles au 1</w:t>
      </w:r>
      <w:r>
        <w:rPr>
          <w:i w:val="0"/>
          <w:sz w:val="20"/>
          <w:vertAlign w:val="superscript"/>
        </w:rPr>
        <w:t>er</w:t>
      </w:r>
      <w:r>
        <w:rPr>
          <w:i w:val="0"/>
          <w:sz w:val="20"/>
        </w:rPr>
        <w:t xml:space="preserve"> trimestre 2017 nous donneront des indications plus claires.</w:t>
      </w:r>
    </w:p>
    <w:p w:rsidR="0055535A" w:rsidRDefault="0055535A" w:rsidP="0055535A">
      <w:pPr>
        <w:pStyle w:val="Illustration"/>
        <w:numPr>
          <w:ilvl w:val="0"/>
          <w:numId w:val="23"/>
        </w:numPr>
        <w:suppressLineNumbers w:val="0"/>
        <w:spacing w:before="0" w:after="0"/>
        <w:ind w:left="284" w:hanging="284"/>
        <w:jc w:val="both"/>
        <w:rPr>
          <w:i w:val="0"/>
          <w:sz w:val="20"/>
        </w:rPr>
      </w:pPr>
      <w:r>
        <w:rPr>
          <w:i w:val="0"/>
          <w:sz w:val="20"/>
        </w:rPr>
        <w:t>Les discordances entre les différentes sources de données (les programmes de santé, le PBF) n’ont pas pu être éradiquées en 2016.  Cependant les initiatives amorcées cette année à savoir, (1) intégration des données des programmes comme le PNLS dans les outils du SIS de routine, (2) la généralisation de l’utilisation du DHIS2 comme entrepôt de données et (3) la promotion des ateliers provinciaux d’analyse des données, permettront d’améliorer la situation à partir de l’année 2017.</w:t>
      </w:r>
    </w:p>
    <w:p w:rsidR="00735C44" w:rsidRDefault="00735C44" w:rsidP="00735C44">
      <w:pPr>
        <w:pStyle w:val="Titre3"/>
        <w:numPr>
          <w:ilvl w:val="0"/>
          <w:numId w:val="0"/>
        </w:numPr>
      </w:pPr>
      <w:bookmarkStart w:id="82" w:name="_Toc475972154"/>
    </w:p>
    <w:p w:rsidR="0055535A" w:rsidRDefault="0055535A" w:rsidP="00735C44">
      <w:pPr>
        <w:pStyle w:val="Titre3"/>
        <w:numPr>
          <w:ilvl w:val="0"/>
          <w:numId w:val="0"/>
        </w:numPr>
        <w:rPr>
          <w:sz w:val="24"/>
        </w:rPr>
      </w:pPr>
      <w:r>
        <w:t>2.2.3 Impact potentiel</w:t>
      </w:r>
      <w:bookmarkEnd w:id="80"/>
      <w:bookmarkEnd w:id="81"/>
      <w:bookmarkEnd w:id="82"/>
      <w:r>
        <w:t xml:space="preserve"> </w:t>
      </w:r>
    </w:p>
    <w:p w:rsidR="0055535A" w:rsidRDefault="0055535A" w:rsidP="0055535A">
      <w:pPr>
        <w:jc w:val="both"/>
        <w:rPr>
          <w:rFonts w:cs="Arial"/>
          <w:sz w:val="20"/>
          <w:szCs w:val="20"/>
        </w:rPr>
      </w:pPr>
      <w:r>
        <w:rPr>
          <w:rFonts w:cs="Arial"/>
          <w:sz w:val="20"/>
          <w:szCs w:val="20"/>
        </w:rPr>
        <w:t>La finalité du PAISS est de contribuer à l’amélioration de l’état de santé de la population du Burundi. L’impact d’une intervention comme le PAISS est toujours complexe à mesurer de par l’existence de plusieurs facteurs confondants. En effet, de multiples autres évènements peuvent avoir contribué aux changements observés. Au vu du contexte actuel et des changements induits par la situation de crise, il est difficile de distinguer la part attribuable uniquement à l’intervention</w:t>
      </w:r>
    </w:p>
    <w:p w:rsidR="0055535A" w:rsidRDefault="0055535A" w:rsidP="0055535A">
      <w:pPr>
        <w:jc w:val="both"/>
        <w:rPr>
          <w:rFonts w:cs="Arial"/>
          <w:sz w:val="20"/>
          <w:szCs w:val="20"/>
        </w:rPr>
      </w:pPr>
      <w:r>
        <w:rPr>
          <w:rFonts w:cs="Arial"/>
          <w:sz w:val="20"/>
          <w:szCs w:val="20"/>
        </w:rPr>
        <w:t>En 2017, certains indicateurs d’impact (mortalité infantile, maternelle, accès à l'eau potable, etc.) seront identifiés dans l’Enquête Démographique et de Santé, qui est appuyée par le volet 4 du programme.</w:t>
      </w:r>
    </w:p>
    <w:p w:rsidR="0055535A" w:rsidRDefault="0055535A" w:rsidP="0055535A">
      <w:pPr>
        <w:jc w:val="both"/>
        <w:rPr>
          <w:rFonts w:cs="Arial"/>
          <w:sz w:val="20"/>
          <w:szCs w:val="20"/>
          <w:lang w:val="fr-BE"/>
        </w:rPr>
      </w:pPr>
      <w:r>
        <w:rPr>
          <w:rFonts w:cs="Arial"/>
          <w:sz w:val="20"/>
          <w:szCs w:val="20"/>
        </w:rPr>
        <w:t>En attendant, on peut estimer au vu de l’évolution des indicateurs d’outcome du PAISS que le programme a contribué à améliorer l’état de santé de la population à côté d’autres interventions alignées sur le Plan National de Développement sanitaire, à travers une meilleure accessibilité et qualité des soins et services de santé. En effet, les indicateurs d</w:t>
      </w:r>
      <w:r>
        <w:rPr>
          <w:rFonts w:cs="Arial"/>
          <w:sz w:val="20"/>
          <w:szCs w:val="20"/>
          <w:lang w:val="fr-BE"/>
        </w:rPr>
        <w:t>’</w:t>
      </w:r>
      <w:r>
        <w:rPr>
          <w:rFonts w:cs="Arial"/>
          <w:sz w:val="20"/>
          <w:szCs w:val="20"/>
        </w:rPr>
        <w:t>utilisation des soins et services de santé ont progressé favorablement d’année en année. Il s’agit notamment du taux d’utilisation du curatif qui est passé de 1,6 en 2015 à 1,8 NC par an et par habitant en 2016, le taux d’accouchement assisté par un personnel qualifié est passé lui de 76 à plus de 77% et le taux de prévalence contraceptive de 30 à 32%. Ces indicateurs sont intimement liés à une amélioration de l’état de santé de la mère et de l’enfant, les couches les plus vulnérables et les plus importantes de la population, mais aussi les premiers utilisateurs des services de santé.</w:t>
      </w:r>
    </w:p>
    <w:p w:rsidR="0055535A" w:rsidRDefault="0055535A" w:rsidP="0055535A">
      <w:pPr>
        <w:jc w:val="both"/>
        <w:rPr>
          <w:rFonts w:cs="Arial"/>
          <w:sz w:val="20"/>
          <w:szCs w:val="20"/>
          <w:lang w:val="fr-BE"/>
        </w:rPr>
      </w:pPr>
      <w:r>
        <w:rPr>
          <w:rFonts w:cs="Arial"/>
          <w:sz w:val="20"/>
          <w:szCs w:val="20"/>
          <w:lang w:val="fr-BE"/>
        </w:rPr>
        <w:t> </w:t>
      </w:r>
    </w:p>
    <w:p w:rsidR="0055535A" w:rsidRDefault="0055535A" w:rsidP="0055535A">
      <w:pPr>
        <w:jc w:val="both"/>
        <w:rPr>
          <w:rFonts w:cs="Arial"/>
          <w:sz w:val="20"/>
          <w:szCs w:val="20"/>
        </w:rPr>
      </w:pPr>
      <w:r>
        <w:rPr>
          <w:rFonts w:cs="Arial"/>
          <w:sz w:val="20"/>
          <w:szCs w:val="20"/>
        </w:rPr>
        <w:t>Par contre, le PAISS qui devait initier ou renforcer des dynamiques endogènes pour mener à des changements dans les processus d’apprentissage institutionnel, de par la suspension des actions à caractère institutionnel a vu son impact limité dans ce qu’il tentait d’impulser jusque-là.</w:t>
      </w:r>
    </w:p>
    <w:p w:rsidR="0055535A" w:rsidRDefault="0055535A" w:rsidP="0055535A">
      <w:pPr>
        <w:jc w:val="both"/>
        <w:rPr>
          <w:rFonts w:cs="Arial"/>
          <w:sz w:val="20"/>
          <w:szCs w:val="20"/>
        </w:rPr>
      </w:pPr>
    </w:p>
    <w:p w:rsidR="0055535A" w:rsidRDefault="0055535A" w:rsidP="0055535A">
      <w:pPr>
        <w:pStyle w:val="Titre2"/>
        <w:pageBreakBefore/>
        <w:numPr>
          <w:ilvl w:val="1"/>
          <w:numId w:val="24"/>
        </w:numPr>
        <w:tabs>
          <w:tab w:val="clear" w:pos="3978"/>
          <w:tab w:val="num" w:pos="576"/>
        </w:tabs>
        <w:ind w:left="576"/>
        <w:rPr>
          <w:sz w:val="28"/>
        </w:rPr>
      </w:pPr>
      <w:bookmarkStart w:id="83" w:name="_Toc475972155"/>
      <w:bookmarkStart w:id="84" w:name="_Toc411938860"/>
      <w:bookmarkStart w:id="85" w:name="_Toc305765865"/>
      <w:bookmarkStart w:id="86" w:name="_Toc305765869"/>
      <w:r>
        <w:t>Volet 4 - SNIS : performance de l'output 1</w:t>
      </w:r>
      <w:bookmarkEnd w:id="83"/>
      <w:bookmarkEnd w:id="84"/>
      <w:r>
        <w:t xml:space="preserve"> </w:t>
      </w:r>
    </w:p>
    <w:p w:rsidR="0055535A" w:rsidRDefault="0055535A" w:rsidP="0055535A">
      <w:pPr>
        <w:rPr>
          <w:sz w:val="20"/>
        </w:rPr>
      </w:pPr>
    </w:p>
    <w:p w:rsidR="0055535A" w:rsidRDefault="0055535A" w:rsidP="0055535A">
      <w:pPr>
        <w:rPr>
          <w:sz w:val="20"/>
        </w:rPr>
      </w:pPr>
      <w:r>
        <w:rPr>
          <w:rFonts w:cs="Arial"/>
          <w:i/>
          <w:noProof/>
          <w:sz w:val="20"/>
          <w:szCs w:val="20"/>
          <w:lang w:val="fr-BE" w:eastAsia="fr-BE"/>
        </w:rPr>
        <w:drawing>
          <wp:inline distT="0" distB="0" distL="0" distR="0">
            <wp:extent cx="4718050" cy="504825"/>
            <wp:effectExtent l="0" t="0" r="635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18050" cy="504825"/>
                    </a:xfrm>
                    <a:prstGeom prst="rect">
                      <a:avLst/>
                    </a:prstGeom>
                    <a:noFill/>
                    <a:ln>
                      <a:noFill/>
                    </a:ln>
                  </pic:spPr>
                </pic:pic>
              </a:graphicData>
            </a:graphic>
          </wp:inline>
        </w:drawing>
      </w:r>
    </w:p>
    <w:p w:rsidR="0055535A" w:rsidRDefault="0055535A" w:rsidP="0055535A">
      <w:pPr>
        <w:pStyle w:val="Titre3"/>
        <w:numPr>
          <w:ilvl w:val="2"/>
          <w:numId w:val="16"/>
        </w:numPr>
        <w:rPr>
          <w:rFonts w:eastAsia="Times New Roman" w:cs="Arial"/>
          <w:sz w:val="24"/>
        </w:rPr>
      </w:pPr>
      <w:bookmarkStart w:id="87" w:name="_Toc475972156"/>
      <w:bookmarkStart w:id="88" w:name="_Toc378155845"/>
      <w:bookmarkStart w:id="89" w:name="_Toc411938861"/>
      <w:bookmarkStart w:id="90" w:name="_Toc380572212"/>
      <w:r>
        <w:t>Progrès des indicateurs</w:t>
      </w:r>
      <w:bookmarkEnd w:id="87"/>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3"/>
        <w:gridCol w:w="875"/>
        <w:gridCol w:w="850"/>
        <w:gridCol w:w="851"/>
        <w:gridCol w:w="850"/>
        <w:gridCol w:w="851"/>
      </w:tblGrid>
      <w:tr w:rsidR="0055535A" w:rsidTr="0055535A">
        <w:trPr>
          <w:cantSplit/>
        </w:trPr>
        <w:tc>
          <w:tcPr>
            <w:tcW w:w="9780"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20"/>
                <w:szCs w:val="20"/>
              </w:rPr>
            </w:pPr>
            <w:r>
              <w:rPr>
                <w:b/>
                <w:sz w:val="20"/>
                <w:szCs w:val="20"/>
              </w:rPr>
              <w:t>Output 1 : La performance et le fonctionnement du SNIS sont améliorés</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 w:val="20"/>
                <w:szCs w:val="20"/>
              </w:rPr>
            </w:pPr>
            <w:r>
              <w:rPr>
                <w:rFonts w:ascii="Arial" w:hAnsi="Arial"/>
                <w:b/>
                <w:sz w:val="20"/>
                <w:szCs w:val="20"/>
              </w:rPr>
              <w:t>Indicateurs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 xml:space="preserve">Valeur de la </w:t>
            </w:r>
            <w:r>
              <w:rPr>
                <w:b/>
                <w:i/>
                <w:sz w:val="20"/>
                <w:szCs w:val="20"/>
              </w:rPr>
              <w:t>Baseline</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Valeur année N-1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Valeur année 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Cible année 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Cible finale</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20"/>
                <w:szCs w:val="20"/>
              </w:rPr>
            </w:pPr>
            <w:r>
              <w:rPr>
                <w:rFonts w:cs="Arial"/>
                <w:sz w:val="20"/>
                <w:szCs w:val="20"/>
              </w:rPr>
              <w:t>Proportion de Formation sanitaires (CDS et Hôpitaux) qui  utilisent les outils de collecte et de rapportage des données (registres et canevas des rapports)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94%</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95%</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20"/>
                <w:szCs w:val="20"/>
              </w:rPr>
            </w:pPr>
          </w:p>
          <w:p w:rsidR="0055535A" w:rsidRDefault="0055535A">
            <w:pPr>
              <w:jc w:val="center"/>
              <w:rPr>
                <w:rFonts w:cs="Arial"/>
                <w:b/>
                <w:bCs/>
                <w:sz w:val="20"/>
                <w:szCs w:val="20"/>
              </w:rPr>
            </w:pPr>
            <w:r>
              <w:rPr>
                <w:rFonts w:cs="Arial"/>
                <w:b/>
                <w:bCs/>
                <w:sz w:val="20"/>
                <w:szCs w:val="20"/>
              </w:rPr>
              <w:t>100%</w:t>
            </w:r>
          </w:p>
          <w:p w:rsidR="0055535A" w:rsidRDefault="0055535A">
            <w:pPr>
              <w:jc w:val="center"/>
              <w:rPr>
                <w:rFonts w:cs="Arial"/>
                <w:b/>
                <w:bCs/>
                <w:sz w:val="20"/>
                <w:szCs w:val="20"/>
              </w:rPr>
            </w:pP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20"/>
                <w:szCs w:val="20"/>
              </w:rPr>
            </w:pPr>
            <w:r>
              <w:rPr>
                <w:rFonts w:cs="Arial"/>
                <w:sz w:val="20"/>
                <w:szCs w:val="20"/>
              </w:rPr>
              <w:t>Proportion des BPS, BDS ayant l'accès au site Web DSNIS  fonctionnel</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 xml:space="preserve">100% </w:t>
            </w:r>
            <w:r>
              <w:rPr>
                <w:rFonts w:cs="Arial"/>
                <w:b/>
                <w:bCs/>
                <w:sz w:val="20"/>
                <w:szCs w:val="20"/>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20"/>
                <w:szCs w:val="20"/>
              </w:rPr>
            </w:pPr>
          </w:p>
          <w:p w:rsidR="0055535A" w:rsidRDefault="0055535A">
            <w:pPr>
              <w:jc w:val="center"/>
              <w:rPr>
                <w:rFonts w:cs="Arial"/>
                <w:b/>
                <w:bCs/>
                <w:sz w:val="20"/>
                <w:szCs w:val="20"/>
              </w:rPr>
            </w:pPr>
            <w:r>
              <w:rPr>
                <w:rFonts w:cs="Arial"/>
                <w:b/>
                <w:bCs/>
                <w:sz w:val="20"/>
                <w:szCs w:val="20"/>
              </w:rPr>
              <w:t>100%</w:t>
            </w:r>
          </w:p>
          <w:p w:rsidR="0055535A" w:rsidRDefault="0055535A">
            <w:pPr>
              <w:jc w:val="center"/>
              <w:rPr>
                <w:rFonts w:cs="Arial"/>
                <w:b/>
                <w:bCs/>
                <w:sz w:val="20"/>
                <w:szCs w:val="20"/>
              </w:rPr>
            </w:pPr>
          </w:p>
        </w:tc>
      </w:tr>
      <w:tr w:rsidR="0055535A" w:rsidTr="00735C44">
        <w:trPr>
          <w:trHeight w:val="611"/>
        </w:trPr>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20"/>
                <w:szCs w:val="20"/>
              </w:rPr>
            </w:pPr>
            <w:r>
              <w:rPr>
                <w:rFonts w:cs="Arial"/>
                <w:sz w:val="20"/>
                <w:szCs w:val="20"/>
              </w:rPr>
              <w:t>% d’indicateurs PNDS contenus dans les Annuaires publiés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37%</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65%</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20"/>
                <w:szCs w:val="20"/>
              </w:rPr>
            </w:pPr>
          </w:p>
          <w:p w:rsidR="0055535A" w:rsidRDefault="0055535A">
            <w:pPr>
              <w:jc w:val="center"/>
              <w:rPr>
                <w:rFonts w:cs="Arial"/>
                <w:b/>
                <w:bCs/>
                <w:sz w:val="20"/>
                <w:szCs w:val="20"/>
              </w:rPr>
            </w:pPr>
            <w:r>
              <w:rPr>
                <w:rFonts w:cs="Arial"/>
                <w:b/>
                <w:bCs/>
                <w:sz w:val="20"/>
                <w:szCs w:val="20"/>
              </w:rPr>
              <w:t>100%</w:t>
            </w:r>
          </w:p>
          <w:p w:rsidR="0055535A" w:rsidRDefault="0055535A">
            <w:pPr>
              <w:jc w:val="center"/>
              <w:rPr>
                <w:rFonts w:cs="Arial"/>
                <w:b/>
                <w:bCs/>
                <w:sz w:val="20"/>
                <w:szCs w:val="20"/>
              </w:rPr>
            </w:pPr>
          </w:p>
        </w:tc>
      </w:tr>
    </w:tbl>
    <w:p w:rsidR="0055535A" w:rsidRDefault="0055535A" w:rsidP="0055535A">
      <w:pPr>
        <w:pStyle w:val="Index"/>
        <w:suppressLineNumbers w:val="0"/>
        <w:rPr>
          <w:rFonts w:cs="Arial"/>
        </w:rPr>
      </w:pPr>
      <w:r>
        <w:rPr>
          <w:rFonts w:cs="Arial"/>
          <w:b/>
          <w:bCs/>
          <w:sz w:val="20"/>
          <w:szCs w:val="20"/>
          <w:vertAlign w:val="superscript"/>
        </w:rPr>
        <w:t>(*) La plateforme DHIS2 est devenu un site accessible via internet</w:t>
      </w:r>
    </w:p>
    <w:p w:rsidR="0055535A" w:rsidRDefault="0055535A" w:rsidP="0055535A">
      <w:pPr>
        <w:pStyle w:val="Titre3"/>
        <w:numPr>
          <w:ilvl w:val="2"/>
          <w:numId w:val="16"/>
        </w:numPr>
      </w:pPr>
      <w:bookmarkStart w:id="91" w:name="_Toc475972157"/>
      <w:r>
        <w:t>État d'avancement des principales activités</w:t>
      </w:r>
      <w:bookmarkEnd w:id="91"/>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21"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20"/>
              </w:rPr>
            </w:pPr>
            <w:r>
              <w:rPr>
                <w:b/>
                <w:sz w:val="20"/>
                <w:szCs w:val="20"/>
              </w:rPr>
              <w:t xml:space="preserve">État d'avancement des </w:t>
            </w:r>
            <w:r>
              <w:rPr>
                <w:b/>
                <w:sz w:val="20"/>
                <w:szCs w:val="20"/>
                <w:u w:val="single"/>
              </w:rPr>
              <w:t xml:space="preserve">principales </w:t>
            </w:r>
            <w:r>
              <w:rPr>
                <w:b/>
                <w:sz w:val="20"/>
                <w:szCs w:val="20"/>
              </w:rPr>
              <w:t xml:space="preserve">activités </w:t>
            </w:r>
            <w:r>
              <w:rPr>
                <w:rStyle w:val="Appelnotedebasdep"/>
                <w:rFonts w:eastAsia="Arial Unicode MS"/>
                <w:szCs w:val="20"/>
              </w:rPr>
              <w:footnoteReference w:id="3"/>
            </w:r>
          </w:p>
          <w:p w:rsidR="0055535A" w:rsidRDefault="0055535A">
            <w:pPr>
              <w:pStyle w:val="Pieddepage"/>
              <w:keepNext/>
              <w:spacing w:before="120"/>
              <w:rPr>
                <w:rFonts w:cs="Arial"/>
                <w:i/>
                <w:iCs/>
                <w:sz w:val="20"/>
                <w:szCs w:val="20"/>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20"/>
              </w:rPr>
            </w:pPr>
            <w:r>
              <w:rPr>
                <w:b/>
                <w:sz w:val="20"/>
                <w:szCs w:val="20"/>
              </w:rPr>
              <w:t>État d'avancement :</w:t>
            </w:r>
          </w:p>
        </w:tc>
      </w:tr>
      <w:tr w:rsidR="0055535A" w:rsidTr="0055535A">
        <w:trPr>
          <w:cantSplit/>
          <w:trHeight w:val="149"/>
        </w:trPr>
        <w:tc>
          <w:tcPr>
            <w:tcW w:w="6521"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20"/>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D</w:t>
            </w:r>
          </w:p>
        </w:tc>
      </w:tr>
      <w:tr w:rsidR="0055535A" w:rsidTr="0055535A">
        <w:trPr>
          <w:trHeight w:val="323"/>
        </w:trPr>
        <w:tc>
          <w:tcPr>
            <w:tcW w:w="652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20"/>
                <w:szCs w:val="20"/>
              </w:rPr>
            </w:pPr>
            <w:r>
              <w:rPr>
                <w:rFonts w:cs="Arial"/>
                <w:sz w:val="20"/>
                <w:szCs w:val="20"/>
              </w:rPr>
              <w:t>1 Etablir un cadrage général du SNIS et revoir les indicateurs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jc w:val="center"/>
              <w:rPr>
                <w:rFonts w:cs="Arial"/>
                <w:sz w:val="20"/>
                <w:szCs w:val="20"/>
              </w:rPr>
            </w:pPr>
          </w:p>
        </w:tc>
      </w:tr>
      <w:tr w:rsidR="0055535A" w:rsidTr="0055535A">
        <w:trPr>
          <w:trHeight w:val="310"/>
        </w:trPr>
        <w:tc>
          <w:tcPr>
            <w:tcW w:w="652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20"/>
                <w:szCs w:val="20"/>
              </w:rPr>
            </w:pPr>
            <w:r>
              <w:rPr>
                <w:rFonts w:cs="Arial"/>
                <w:sz w:val="20"/>
                <w:szCs w:val="20"/>
              </w:rPr>
              <w:t>2</w:t>
            </w:r>
            <w:r>
              <w:rPr>
                <w:rFonts w:cs="Arial"/>
                <w:bCs/>
                <w:kern w:val="0"/>
                <w:sz w:val="20"/>
                <w:szCs w:val="20"/>
                <w:lang w:eastAsia="fr-BE"/>
              </w:rPr>
              <w:t xml:space="preserve"> </w:t>
            </w:r>
            <w:r>
              <w:rPr>
                <w:rFonts w:cs="Arial"/>
                <w:sz w:val="20"/>
                <w:szCs w:val="20"/>
              </w:rPr>
              <w:t>R</w:t>
            </w:r>
            <w:r>
              <w:rPr>
                <w:rFonts w:cs="Arial"/>
                <w:bCs/>
                <w:kern w:val="0"/>
                <w:sz w:val="20"/>
                <w:szCs w:val="20"/>
                <w:lang w:eastAsia="fr-BE"/>
              </w:rPr>
              <w:t>evoir et actualiser les outils et supports standards utilisés par tous les acteurs tant publics que privés et les actualiser ultérieurement si nécessaire.</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jc w:val="center"/>
              <w:rPr>
                <w:rFonts w:cs="Arial"/>
                <w:sz w:val="20"/>
                <w:szCs w:val="20"/>
              </w:rPr>
            </w:pPr>
          </w:p>
        </w:tc>
      </w:tr>
      <w:tr w:rsidR="0055535A" w:rsidTr="0055535A">
        <w:trPr>
          <w:trHeight w:val="72"/>
        </w:trPr>
        <w:tc>
          <w:tcPr>
            <w:tcW w:w="652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20"/>
                <w:szCs w:val="20"/>
              </w:rPr>
            </w:pPr>
            <w:r>
              <w:rPr>
                <w:rFonts w:cs="Arial"/>
                <w:sz w:val="20"/>
                <w:szCs w:val="20"/>
              </w:rPr>
              <w:t>3</w:t>
            </w:r>
            <w:r>
              <w:rPr>
                <w:rFonts w:cs="Arial"/>
                <w:bCs/>
                <w:kern w:val="0"/>
                <w:sz w:val="20"/>
                <w:szCs w:val="20"/>
                <w:lang w:eastAsia="fr-BE"/>
              </w:rPr>
              <w:t xml:space="preserve"> Revoir le logiciel GESIS, créer un réseau électronique et installer une base de données sur un site web propre au SNIS pour faciliter les échanges des données et d’informations de façon sécurisée.</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jc w:val="center"/>
              <w:rPr>
                <w:rFonts w:cs="Arial"/>
                <w:sz w:val="20"/>
                <w:szCs w:val="20"/>
              </w:rPr>
            </w:pPr>
          </w:p>
        </w:tc>
      </w:tr>
      <w:tr w:rsidR="0055535A" w:rsidTr="0055535A">
        <w:trPr>
          <w:trHeight w:val="310"/>
        </w:trPr>
        <w:tc>
          <w:tcPr>
            <w:tcW w:w="652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20"/>
                <w:szCs w:val="20"/>
              </w:rPr>
            </w:pPr>
            <w:r>
              <w:rPr>
                <w:rFonts w:cs="Arial"/>
                <w:sz w:val="20"/>
                <w:szCs w:val="20"/>
              </w:rPr>
              <w:t>4</w:t>
            </w:r>
            <w:r>
              <w:rPr>
                <w:rFonts w:cs="Arial"/>
                <w:bCs/>
                <w:kern w:val="0"/>
                <w:sz w:val="20"/>
                <w:szCs w:val="20"/>
                <w:lang w:eastAsia="fr-BE"/>
              </w:rPr>
              <w:t xml:space="preserve"> Définir les mécanismes d’analyse, d’exploitation, de dissémination et d’utilisation des données et appuyer la production</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jc w:val="center"/>
              <w:rPr>
                <w:rFonts w:cs="Arial"/>
                <w:sz w:val="20"/>
                <w:szCs w:val="20"/>
              </w:rPr>
            </w:pPr>
          </w:p>
        </w:tc>
      </w:tr>
      <w:tr w:rsidR="0055535A" w:rsidTr="0055535A">
        <w:trPr>
          <w:trHeight w:val="323"/>
        </w:trPr>
        <w:tc>
          <w:tcPr>
            <w:tcW w:w="652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tabs>
                <w:tab w:val="left" w:pos="1455"/>
              </w:tabs>
              <w:spacing w:before="120"/>
              <w:rPr>
                <w:rFonts w:cs="Arial"/>
                <w:sz w:val="20"/>
                <w:szCs w:val="20"/>
              </w:rPr>
            </w:pPr>
            <w:r>
              <w:rPr>
                <w:rFonts w:cs="Arial"/>
                <w:sz w:val="20"/>
                <w:szCs w:val="20"/>
              </w:rPr>
              <w:t xml:space="preserve">5 </w:t>
            </w:r>
            <w:r>
              <w:rPr>
                <w:rFonts w:cs="Arial"/>
                <w:bCs/>
                <w:kern w:val="0"/>
                <w:sz w:val="20"/>
                <w:szCs w:val="20"/>
                <w:lang w:eastAsia="fr-BE"/>
              </w:rPr>
              <w:t>Contractualiser avec un ou plusieurs organismes responsables d’expertises perlées.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jc w:val="center"/>
              <w:rPr>
                <w:rFonts w:cs="Arial"/>
                <w:sz w:val="20"/>
                <w:szCs w:val="20"/>
              </w:rPr>
            </w:pPr>
          </w:p>
        </w:tc>
      </w:tr>
    </w:tbl>
    <w:p w:rsidR="0055535A" w:rsidRDefault="0055535A" w:rsidP="0055535A">
      <w:pPr>
        <w:pStyle w:val="Index"/>
        <w:suppressLineNumbers w:val="0"/>
        <w:rPr>
          <w:rFonts w:cs="Arial"/>
          <w:sz w:val="20"/>
          <w:szCs w:val="20"/>
        </w:rPr>
      </w:pPr>
    </w:p>
    <w:p w:rsidR="0055535A" w:rsidRDefault="0055535A" w:rsidP="0055535A">
      <w:pPr>
        <w:pStyle w:val="Titre3"/>
        <w:numPr>
          <w:ilvl w:val="2"/>
          <w:numId w:val="16"/>
        </w:numPr>
        <w:rPr>
          <w:sz w:val="24"/>
        </w:rPr>
      </w:pPr>
      <w:bookmarkStart w:id="92" w:name="_Toc475972158"/>
      <w:r>
        <w:t>Analyse des progrès réalisés</w:t>
      </w:r>
      <w:bookmarkEnd w:id="92"/>
    </w:p>
    <w:tbl>
      <w:tblPr>
        <w:tblW w:w="97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804"/>
      </w:tblGrid>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bookmarkStart w:id="93" w:name="_Toc378155851"/>
            <w:bookmarkStart w:id="94" w:name="_Toc378155855"/>
            <w:bookmarkStart w:id="95" w:name="_Toc378155859"/>
            <w:r>
              <w:rPr>
                <w:rFonts w:cs="Arial"/>
                <w:sz w:val="20"/>
                <w:szCs w:val="20"/>
              </w:rPr>
              <w:t>Lien entre les activités et l'output:</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sz w:val="20"/>
                <w:szCs w:val="20"/>
              </w:rPr>
            </w:pPr>
            <w:r>
              <w:rPr>
                <w:rFonts w:cs="Arial"/>
                <w:sz w:val="20"/>
                <w:szCs w:val="20"/>
              </w:rPr>
              <w:t xml:space="preserve">Le passage de la plateforme GESIS à une plateforme Web based DHIS2 participe à la connexion des structures sur le Web de façon directe et indirecte. Ce passage a nécessité une révision et intégration des indicateurs de certains programmes notamment le PNLS. Cela impacte les 3 indicateurs de l’output </w:t>
            </w:r>
          </w:p>
        </w:tc>
      </w:tr>
      <w:tr w:rsidR="0055535A" w:rsidTr="0055535A">
        <w:tc>
          <w:tcPr>
            <w:tcW w:w="2978" w:type="dxa"/>
            <w:tcBorders>
              <w:top w:val="single" w:sz="4" w:space="0" w:color="auto"/>
              <w:left w:val="single" w:sz="4" w:space="0" w:color="auto"/>
              <w:bottom w:val="single" w:sz="4" w:space="0" w:color="auto"/>
              <w:right w:val="single" w:sz="4" w:space="0" w:color="auto"/>
            </w:tcBorders>
          </w:tcPr>
          <w:p w:rsidR="0055535A" w:rsidRDefault="0055535A">
            <w:pPr>
              <w:pStyle w:val="Illustration"/>
              <w:suppressLineNumbers w:val="0"/>
              <w:spacing w:before="0" w:after="0"/>
              <w:rPr>
                <w:rFonts w:cs="Arial"/>
                <w:sz w:val="20"/>
                <w:szCs w:val="20"/>
              </w:rPr>
            </w:pPr>
            <w:r>
              <w:rPr>
                <w:rFonts w:cs="Arial"/>
                <w:sz w:val="20"/>
                <w:szCs w:val="20"/>
              </w:rPr>
              <w:t>Progrès réalisés par rapport à l'atteinte de l'output (sur la base d’indicateurs) :</w:t>
            </w:r>
          </w:p>
          <w:p w:rsidR="0055535A" w:rsidRDefault="0055535A">
            <w:pPr>
              <w:pStyle w:val="Pieddepage"/>
              <w:keepNext/>
              <w:spacing w:before="120"/>
              <w:rPr>
                <w:rFonts w:cs="Arial"/>
                <w:b/>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jc w:val="both"/>
              <w:rPr>
                <w:rFonts w:cs="Arial"/>
                <w:sz w:val="20"/>
                <w:szCs w:val="20"/>
              </w:rPr>
            </w:pPr>
            <w:r>
              <w:rPr>
                <w:rFonts w:cs="Arial"/>
                <w:sz w:val="20"/>
                <w:szCs w:val="20"/>
              </w:rPr>
              <w:t>L’analyse du processus montre que toutes les activités ont été menées :</w:t>
            </w:r>
          </w:p>
          <w:p w:rsidR="0055535A" w:rsidRDefault="0055535A" w:rsidP="0055535A">
            <w:pPr>
              <w:pStyle w:val="Illustration"/>
              <w:numPr>
                <w:ilvl w:val="0"/>
                <w:numId w:val="25"/>
              </w:numPr>
              <w:suppressLineNumbers w:val="0"/>
              <w:spacing w:before="0" w:after="0"/>
              <w:jc w:val="both"/>
              <w:rPr>
                <w:rFonts w:cs="Arial"/>
                <w:i w:val="0"/>
                <w:sz w:val="20"/>
                <w:szCs w:val="20"/>
              </w:rPr>
            </w:pPr>
            <w:r>
              <w:rPr>
                <w:rFonts w:cs="Arial"/>
                <w:i w:val="0"/>
                <w:sz w:val="20"/>
                <w:szCs w:val="20"/>
              </w:rPr>
              <w:t>Atelier de consensus avec le programme PNLS en vue de l’unification des outils de collecte et des indicateurs consensuels a tenu ses promesses puisqu’il a abouti à des indicateurs et outils communs.</w:t>
            </w:r>
          </w:p>
          <w:p w:rsidR="0055535A" w:rsidRDefault="0055535A" w:rsidP="0055535A">
            <w:pPr>
              <w:pStyle w:val="Illustration"/>
              <w:numPr>
                <w:ilvl w:val="0"/>
                <w:numId w:val="25"/>
              </w:numPr>
              <w:suppressLineNumbers w:val="0"/>
              <w:spacing w:before="0" w:after="0"/>
              <w:jc w:val="both"/>
              <w:rPr>
                <w:rFonts w:cs="Arial"/>
                <w:i w:val="0"/>
                <w:sz w:val="20"/>
                <w:szCs w:val="20"/>
              </w:rPr>
            </w:pPr>
            <w:r>
              <w:rPr>
                <w:rFonts w:cs="Arial"/>
                <w:i w:val="0"/>
                <w:sz w:val="20"/>
                <w:szCs w:val="20"/>
              </w:rPr>
              <w:t xml:space="preserve">L’application WEB based (DHIS2) a été rendue étendue cette année à tous les 46 districts sanitaires. Les formations des acteurs sur le nouveau logiciel se sont poursuivies avec succès. </w:t>
            </w:r>
          </w:p>
          <w:p w:rsidR="0055535A" w:rsidRDefault="0055535A" w:rsidP="0055535A">
            <w:pPr>
              <w:pStyle w:val="Index"/>
              <w:numPr>
                <w:ilvl w:val="0"/>
                <w:numId w:val="25"/>
              </w:numPr>
              <w:suppressLineNumbers w:val="0"/>
              <w:jc w:val="both"/>
              <w:rPr>
                <w:rFonts w:cs="Arial"/>
                <w:sz w:val="20"/>
                <w:szCs w:val="20"/>
              </w:rPr>
            </w:pPr>
            <w:r>
              <w:rPr>
                <w:rFonts w:cs="Arial"/>
                <w:sz w:val="20"/>
                <w:szCs w:val="20"/>
              </w:rPr>
              <w:t xml:space="preserve">La carte sanitaire du Burundi validée en 2014 a été définitivement adoptée. </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b/>
                <w:sz w:val="20"/>
                <w:szCs w:val="20"/>
              </w:rPr>
            </w:pPr>
            <w:r>
              <w:rPr>
                <w:rFonts w:cs="Arial"/>
                <w:sz w:val="20"/>
                <w:szCs w:val="20"/>
              </w:rPr>
              <w:t>Difficultés qui se sont présentées, facteurs d'influence (positive ou négative) :</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sz w:val="20"/>
                <w:szCs w:val="20"/>
              </w:rPr>
            </w:pPr>
            <w:r>
              <w:rPr>
                <w:rFonts w:cs="Arial"/>
                <w:sz w:val="20"/>
                <w:szCs w:val="20"/>
              </w:rPr>
              <w:t>Les outils de collecte des données papiers connaissent des ruptures de stocks dans les structures. Un marché à commande a été mis à disposition mais n’a pas permis de résoudre le problème. La DSNIS a été confrontée à des problèmes organisationnels importants cette année qui expliquent par ailleurs le retard de publication de l’annuaire 2015</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Résultats inattendus (positifs ou négatifs) :</w:t>
            </w:r>
          </w:p>
        </w:tc>
        <w:tc>
          <w:tcPr>
            <w:tcW w:w="6804" w:type="dxa"/>
            <w:tcBorders>
              <w:top w:val="single" w:sz="4" w:space="0" w:color="auto"/>
              <w:left w:val="single" w:sz="4" w:space="0" w:color="auto"/>
              <w:bottom w:val="single" w:sz="4" w:space="0" w:color="auto"/>
              <w:right w:val="single" w:sz="4" w:space="0" w:color="auto"/>
            </w:tcBorders>
          </w:tcPr>
          <w:p w:rsidR="0055535A" w:rsidRDefault="0055535A">
            <w:pPr>
              <w:pStyle w:val="Index"/>
              <w:suppressLineNumbers w:val="0"/>
              <w:ind w:left="360"/>
              <w:jc w:val="both"/>
              <w:rPr>
                <w:rFonts w:cs="Arial"/>
                <w:sz w:val="20"/>
                <w:szCs w:val="20"/>
              </w:rPr>
            </w:pPr>
          </w:p>
        </w:tc>
      </w:tr>
    </w:tbl>
    <w:p w:rsidR="0055535A" w:rsidRDefault="0055535A" w:rsidP="0055535A">
      <w:pPr>
        <w:pStyle w:val="Illustration"/>
        <w:suppressLineNumbers w:val="0"/>
        <w:spacing w:before="0" w:after="0"/>
        <w:jc w:val="both"/>
        <w:rPr>
          <w:rFonts w:cs="Arial"/>
          <w:i w:val="0"/>
          <w:sz w:val="20"/>
          <w:szCs w:val="20"/>
        </w:rPr>
      </w:pPr>
    </w:p>
    <w:bookmarkEnd w:id="93"/>
    <w:p w:rsidR="0055535A" w:rsidRDefault="0055535A" w:rsidP="0055535A">
      <w:pPr>
        <w:pStyle w:val="Index"/>
        <w:suppressLineNumbers w:val="0"/>
        <w:rPr>
          <w:rFonts w:cs="Arial"/>
          <w:sz w:val="20"/>
          <w:szCs w:val="20"/>
        </w:rPr>
      </w:pPr>
    </w:p>
    <w:bookmarkEnd w:id="94"/>
    <w:p w:rsidR="0055535A" w:rsidRDefault="0055535A" w:rsidP="0055535A">
      <w:pPr>
        <w:pStyle w:val="Pieddepage"/>
        <w:keepNext/>
        <w:spacing w:before="120"/>
        <w:rPr>
          <w:rFonts w:cs="Arial"/>
          <w:sz w:val="20"/>
          <w:szCs w:val="20"/>
        </w:rPr>
      </w:pPr>
    </w:p>
    <w:p w:rsidR="0055535A" w:rsidRDefault="0055535A" w:rsidP="0055535A">
      <w:pPr>
        <w:pStyle w:val="Titre2"/>
        <w:pageBreakBefore/>
        <w:numPr>
          <w:ilvl w:val="1"/>
          <w:numId w:val="16"/>
        </w:numPr>
        <w:tabs>
          <w:tab w:val="clear" w:pos="3978"/>
          <w:tab w:val="num" w:pos="576"/>
        </w:tabs>
        <w:ind w:left="578" w:hanging="578"/>
        <w:rPr>
          <w:sz w:val="28"/>
        </w:rPr>
      </w:pPr>
      <w:bookmarkStart w:id="96" w:name="_Toc475972159"/>
      <w:bookmarkEnd w:id="95"/>
      <w:r>
        <w:rPr>
          <w:bCs w:val="0"/>
        </w:rPr>
        <w:t>Volet 4 - SNIS : performance de l'output 2</w:t>
      </w:r>
      <w:bookmarkEnd w:id="96"/>
      <w:r>
        <w:rPr>
          <w:bCs w:val="0"/>
        </w:rPr>
        <w:t xml:space="preserve"> </w:t>
      </w:r>
    </w:p>
    <w:p w:rsidR="0055535A" w:rsidRDefault="0055535A" w:rsidP="0055535A">
      <w:pPr>
        <w:pStyle w:val="Titre3"/>
        <w:numPr>
          <w:ilvl w:val="2"/>
          <w:numId w:val="16"/>
        </w:numPr>
        <w:rPr>
          <w:rFonts w:eastAsia="Times New Roman" w:cs="Arial"/>
        </w:rPr>
      </w:pPr>
      <w:bookmarkStart w:id="97" w:name="_Toc475972160"/>
      <w:r>
        <w:t>Progrès des indicateurs</w:t>
      </w:r>
      <w:bookmarkEnd w:id="97"/>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3"/>
        <w:gridCol w:w="875"/>
        <w:gridCol w:w="850"/>
        <w:gridCol w:w="851"/>
        <w:gridCol w:w="850"/>
        <w:gridCol w:w="851"/>
      </w:tblGrid>
      <w:tr w:rsidR="0055535A" w:rsidTr="0055535A">
        <w:trPr>
          <w:cantSplit/>
        </w:trPr>
        <w:tc>
          <w:tcPr>
            <w:tcW w:w="9780"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20"/>
                <w:szCs w:val="20"/>
              </w:rPr>
            </w:pPr>
            <w:r>
              <w:rPr>
                <w:b/>
                <w:sz w:val="20"/>
                <w:szCs w:val="20"/>
              </w:rPr>
              <w:t>Output 2 :</w:t>
            </w:r>
            <w:r>
              <w:rPr>
                <w:sz w:val="20"/>
                <w:szCs w:val="20"/>
              </w:rPr>
              <w:t xml:space="preserve"> </w:t>
            </w:r>
            <w:r>
              <w:rPr>
                <w:b/>
                <w:sz w:val="20"/>
                <w:szCs w:val="20"/>
              </w:rPr>
              <w:t>Le parc informatique, bureautique et logistique du SNIS est fonctionnel</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 w:val="20"/>
                <w:szCs w:val="20"/>
              </w:rPr>
            </w:pPr>
            <w:r>
              <w:rPr>
                <w:rFonts w:ascii="Arial" w:hAnsi="Arial"/>
                <w:b/>
                <w:sz w:val="20"/>
                <w:szCs w:val="20"/>
              </w:rPr>
              <w:t>Indicateurs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 xml:space="preserve">Valeur de la </w:t>
            </w:r>
            <w:r>
              <w:rPr>
                <w:b/>
                <w:i/>
                <w:sz w:val="20"/>
                <w:szCs w:val="20"/>
              </w:rPr>
              <w:t>Baseline</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Valeur année N-1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Valeur année 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Cible année 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Cible finale</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20"/>
                <w:szCs w:val="20"/>
              </w:rPr>
            </w:pPr>
            <w:r>
              <w:rPr>
                <w:rFonts w:cs="Arial"/>
                <w:sz w:val="20"/>
                <w:szCs w:val="20"/>
              </w:rPr>
              <w:t>% de BDS, BPS et Hôpitaux de référence disposant d'équipements ICT fonctionnels selon les normes en informatique bureautique du ministère (incluant maintenance)</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 40%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65%</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100%</w:t>
            </w:r>
          </w:p>
        </w:tc>
      </w:tr>
      <w:tr w:rsidR="0055535A" w:rsidTr="0055535A">
        <w:trPr>
          <w:trHeight w:val="709"/>
        </w:trPr>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20"/>
                <w:szCs w:val="20"/>
              </w:rPr>
            </w:pPr>
            <w:r>
              <w:rPr>
                <w:rFonts w:cs="Arial"/>
                <w:sz w:val="20"/>
                <w:szCs w:val="20"/>
              </w:rPr>
              <w:t xml:space="preserve"> % de BDS, BPS et Hôpitaux de référence ayant l'accès à l'Internet et transmettant les données par internet</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&lt;10%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&lt;10%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74%</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100%</w:t>
            </w:r>
          </w:p>
        </w:tc>
      </w:tr>
    </w:tbl>
    <w:p w:rsidR="0055535A" w:rsidRDefault="0055535A" w:rsidP="0055535A">
      <w:pPr>
        <w:pStyle w:val="Index"/>
        <w:suppressLineNumbers w:val="0"/>
        <w:rPr>
          <w:rFonts w:cs="Arial"/>
        </w:rPr>
      </w:pPr>
    </w:p>
    <w:p w:rsidR="0055535A" w:rsidRDefault="0055535A" w:rsidP="0055535A">
      <w:pPr>
        <w:pStyle w:val="Titre3"/>
        <w:numPr>
          <w:ilvl w:val="2"/>
          <w:numId w:val="16"/>
        </w:numPr>
      </w:pPr>
      <w:bookmarkStart w:id="98" w:name="_Toc475972161"/>
      <w:r>
        <w:t>État d'avancement des principales activités</w:t>
      </w:r>
      <w:bookmarkEnd w:id="98"/>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19"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20"/>
              </w:rPr>
            </w:pPr>
            <w:r>
              <w:rPr>
                <w:b/>
                <w:sz w:val="20"/>
                <w:szCs w:val="20"/>
              </w:rPr>
              <w:t xml:space="preserve">État d'avancement des </w:t>
            </w:r>
            <w:r>
              <w:rPr>
                <w:b/>
                <w:sz w:val="20"/>
                <w:szCs w:val="20"/>
                <w:u w:val="single"/>
              </w:rPr>
              <w:t xml:space="preserve">principales </w:t>
            </w:r>
            <w:r>
              <w:rPr>
                <w:b/>
                <w:sz w:val="20"/>
                <w:szCs w:val="20"/>
              </w:rPr>
              <w:t xml:space="preserve">activités </w:t>
            </w:r>
            <w:r>
              <w:rPr>
                <w:rStyle w:val="Appelnotedebasdep"/>
                <w:rFonts w:eastAsia="Arial Unicode MS"/>
                <w:szCs w:val="20"/>
              </w:rPr>
              <w:footnoteReference w:id="4"/>
            </w:r>
          </w:p>
          <w:p w:rsidR="0055535A" w:rsidRDefault="0055535A">
            <w:pPr>
              <w:pStyle w:val="Pieddepage"/>
              <w:keepNext/>
              <w:spacing w:before="120"/>
              <w:rPr>
                <w:rFonts w:cs="Arial"/>
                <w:i/>
                <w:iCs/>
                <w:sz w:val="20"/>
                <w:szCs w:val="20"/>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20"/>
              </w:rPr>
            </w:pPr>
            <w:r>
              <w:rPr>
                <w:b/>
                <w:sz w:val="20"/>
                <w:szCs w:val="20"/>
              </w:rPr>
              <w:t>État d'avancement :</w:t>
            </w:r>
          </w:p>
        </w:tc>
      </w:tr>
      <w:tr w:rsidR="0055535A" w:rsidTr="005E7472">
        <w:trPr>
          <w:cantSplit/>
          <w:trHeight w:val="218"/>
        </w:trPr>
        <w:tc>
          <w:tcPr>
            <w:tcW w:w="6519"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20"/>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D</w:t>
            </w:r>
          </w:p>
        </w:tc>
      </w:tr>
      <w:tr w:rsidR="0055535A" w:rsidTr="0055535A">
        <w:trPr>
          <w:trHeight w:val="323"/>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1</w:t>
            </w:r>
            <w:r>
              <w:rPr>
                <w:rFonts w:cs="Arial"/>
                <w:kern w:val="0"/>
                <w:sz w:val="20"/>
                <w:szCs w:val="20"/>
                <w:lang w:eastAsia="fr-BE"/>
              </w:rPr>
              <w:t xml:space="preserve"> Développer un système de maintenance intégrée et pérenne</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2</w:t>
            </w:r>
            <w:r>
              <w:rPr>
                <w:rFonts w:cs="Arial"/>
                <w:kern w:val="0"/>
                <w:sz w:val="20"/>
                <w:szCs w:val="20"/>
                <w:lang w:eastAsia="fr-BE"/>
              </w:rPr>
              <w:t xml:space="preserve"> Résoudre les problèmes d’alimentation électrique là où c’est possible</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r>
      <w:tr w:rsidR="0055535A" w:rsidTr="0055535A">
        <w:trPr>
          <w:trHeight w:val="72"/>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3</w:t>
            </w:r>
            <w:r>
              <w:rPr>
                <w:rFonts w:cs="Arial"/>
                <w:kern w:val="0"/>
                <w:sz w:val="20"/>
                <w:szCs w:val="20"/>
                <w:lang w:eastAsia="fr-BE"/>
              </w:rPr>
              <w:t xml:space="preserve"> Acquérir les matériels informatiques et bureautiques et les souscriptions aux « providers »</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4</w:t>
            </w:r>
            <w:r>
              <w:rPr>
                <w:rFonts w:cs="Arial"/>
                <w:kern w:val="0"/>
                <w:sz w:val="20"/>
                <w:szCs w:val="20"/>
                <w:lang w:eastAsia="fr-BE"/>
              </w:rPr>
              <w:t xml:space="preserve"> Réhabiliter l’infrastructure et la logistique de la DSNIS</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r>
    </w:tbl>
    <w:p w:rsidR="0055535A" w:rsidRDefault="0055535A" w:rsidP="0055535A">
      <w:pPr>
        <w:pStyle w:val="Index"/>
        <w:suppressLineNumbers w:val="0"/>
        <w:rPr>
          <w:rFonts w:cs="Arial"/>
          <w:sz w:val="20"/>
          <w:szCs w:val="20"/>
        </w:rPr>
      </w:pPr>
    </w:p>
    <w:p w:rsidR="0055535A" w:rsidRDefault="0055535A" w:rsidP="0055535A">
      <w:pPr>
        <w:pStyle w:val="Titre3"/>
        <w:numPr>
          <w:ilvl w:val="2"/>
          <w:numId w:val="16"/>
        </w:numPr>
        <w:rPr>
          <w:sz w:val="24"/>
        </w:rPr>
      </w:pPr>
      <w:bookmarkStart w:id="99" w:name="_Toc475972162"/>
      <w:r>
        <w:t>Analyse des progrès réalisés</w:t>
      </w:r>
      <w:bookmarkEnd w:id="99"/>
    </w:p>
    <w:tbl>
      <w:tblPr>
        <w:tblW w:w="97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804"/>
      </w:tblGrid>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Lien entre les activités et l'output:</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sz w:val="20"/>
                <w:szCs w:val="20"/>
              </w:rPr>
            </w:pPr>
            <w:r>
              <w:rPr>
                <w:rFonts w:cs="Arial"/>
                <w:sz w:val="20"/>
                <w:szCs w:val="20"/>
              </w:rPr>
              <w:t>Nul doute que la mise en œuvre d’une stratégie de maintenance efficace assure la fonctionnalité du parc informatique. Il en est de même de la réhabilitation des installations électriques sur lesquelles fonctionnent les divers équipements.</w:t>
            </w:r>
          </w:p>
        </w:tc>
      </w:tr>
      <w:tr w:rsidR="0055535A" w:rsidTr="0055535A">
        <w:tc>
          <w:tcPr>
            <w:tcW w:w="2978" w:type="dxa"/>
            <w:tcBorders>
              <w:top w:val="single" w:sz="4" w:space="0" w:color="auto"/>
              <w:left w:val="single" w:sz="4" w:space="0" w:color="auto"/>
              <w:bottom w:val="single" w:sz="4" w:space="0" w:color="auto"/>
              <w:right w:val="single" w:sz="4" w:space="0" w:color="auto"/>
            </w:tcBorders>
          </w:tcPr>
          <w:p w:rsidR="0055535A" w:rsidRDefault="0055535A">
            <w:pPr>
              <w:pStyle w:val="Illustration"/>
              <w:suppressLineNumbers w:val="0"/>
              <w:spacing w:before="0" w:after="0"/>
              <w:rPr>
                <w:rFonts w:cs="Arial"/>
                <w:sz w:val="20"/>
                <w:szCs w:val="20"/>
              </w:rPr>
            </w:pPr>
            <w:r>
              <w:rPr>
                <w:rFonts w:cs="Arial"/>
                <w:sz w:val="20"/>
                <w:szCs w:val="20"/>
              </w:rPr>
              <w:t>Progrès réalisés par rapport à l'atteinte de l'output (sur la base d’indicateurs) :</w:t>
            </w:r>
          </w:p>
          <w:p w:rsidR="0055535A" w:rsidRDefault="0055535A">
            <w:pPr>
              <w:pStyle w:val="Pieddepage"/>
              <w:keepNext/>
              <w:spacing w:before="120"/>
              <w:rPr>
                <w:rFonts w:cs="Arial"/>
                <w:b/>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rsidP="0055535A">
            <w:pPr>
              <w:numPr>
                <w:ilvl w:val="0"/>
                <w:numId w:val="26"/>
              </w:numPr>
              <w:jc w:val="both"/>
              <w:rPr>
                <w:rFonts w:cs="Arial"/>
                <w:sz w:val="20"/>
                <w:szCs w:val="20"/>
              </w:rPr>
            </w:pPr>
            <w:r>
              <w:rPr>
                <w:rFonts w:cs="Arial"/>
                <w:sz w:val="20"/>
                <w:szCs w:val="20"/>
              </w:rPr>
              <w:t>Une stratégie de maintenance des équipements informatiques est intégrée dans le PNDIS ;</w:t>
            </w:r>
          </w:p>
          <w:p w:rsidR="0055535A" w:rsidRDefault="0055535A" w:rsidP="0055535A">
            <w:pPr>
              <w:numPr>
                <w:ilvl w:val="0"/>
                <w:numId w:val="26"/>
              </w:numPr>
              <w:jc w:val="both"/>
              <w:rPr>
                <w:rFonts w:cs="Arial"/>
                <w:sz w:val="20"/>
                <w:szCs w:val="20"/>
              </w:rPr>
            </w:pPr>
            <w:r>
              <w:rPr>
                <w:rFonts w:cs="Arial"/>
                <w:sz w:val="20"/>
                <w:szCs w:val="20"/>
              </w:rPr>
              <w:t>5 informaticiens sont en place pour s’occuper de la maintenance</w:t>
            </w:r>
          </w:p>
          <w:p w:rsidR="0055535A" w:rsidRDefault="0055535A" w:rsidP="0055535A">
            <w:pPr>
              <w:numPr>
                <w:ilvl w:val="0"/>
                <w:numId w:val="26"/>
              </w:numPr>
              <w:jc w:val="both"/>
              <w:rPr>
                <w:rFonts w:cs="Arial"/>
                <w:sz w:val="20"/>
                <w:szCs w:val="20"/>
              </w:rPr>
            </w:pPr>
            <w:r>
              <w:rPr>
                <w:rFonts w:cs="Arial"/>
                <w:sz w:val="20"/>
                <w:szCs w:val="20"/>
              </w:rPr>
              <w:t xml:space="preserve">Des connexions internet par fibre optique ont été mises en place pour la DSNIS et les hôpitaux informatisés et des connexions par clés modem 3 G ont été fournies au niveau périphérique </w:t>
            </w:r>
          </w:p>
          <w:p w:rsidR="0055535A" w:rsidRDefault="0055535A" w:rsidP="0055535A">
            <w:pPr>
              <w:numPr>
                <w:ilvl w:val="0"/>
                <w:numId w:val="26"/>
              </w:numPr>
              <w:jc w:val="both"/>
              <w:rPr>
                <w:rFonts w:cs="Arial"/>
                <w:sz w:val="20"/>
                <w:szCs w:val="20"/>
              </w:rPr>
            </w:pPr>
            <w:r>
              <w:rPr>
                <w:rFonts w:cs="Arial"/>
                <w:sz w:val="20"/>
                <w:szCs w:val="20"/>
              </w:rPr>
              <w:t>L’extension de l’informatisation à 8 nouveaux hôpitaux a été amorcée avec la Clinique Prince Louis Rwagasore.</w:t>
            </w:r>
          </w:p>
          <w:p w:rsidR="0055535A" w:rsidRDefault="0055535A" w:rsidP="0055535A">
            <w:pPr>
              <w:numPr>
                <w:ilvl w:val="0"/>
                <w:numId w:val="26"/>
              </w:numPr>
              <w:jc w:val="both"/>
              <w:rPr>
                <w:rFonts w:cs="Arial"/>
                <w:sz w:val="20"/>
                <w:szCs w:val="20"/>
              </w:rPr>
            </w:pPr>
            <w:r>
              <w:rPr>
                <w:rFonts w:cs="Arial"/>
                <w:sz w:val="20"/>
                <w:szCs w:val="20"/>
              </w:rPr>
              <w:t xml:space="preserve">La maintenance des équipements informatiques a été intégrée dans la stratégie globale de maintenance des équipements et infrastructures du MSPLS en cours de développement avec l’appui du volet 5 du PAISS. </w:t>
            </w:r>
          </w:p>
        </w:tc>
      </w:tr>
      <w:tr w:rsidR="0055535A" w:rsidRPr="00C17166"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Difficultés qui se sont présentées, facteurs d'influence (positive ou négative) :</w:t>
            </w:r>
          </w:p>
        </w:tc>
        <w:tc>
          <w:tcPr>
            <w:tcW w:w="6804" w:type="dxa"/>
            <w:tcBorders>
              <w:top w:val="single" w:sz="4" w:space="0" w:color="auto"/>
              <w:left w:val="single" w:sz="4" w:space="0" w:color="auto"/>
              <w:bottom w:val="single" w:sz="4" w:space="0" w:color="auto"/>
              <w:right w:val="single" w:sz="4" w:space="0" w:color="auto"/>
            </w:tcBorders>
            <w:hideMark/>
          </w:tcPr>
          <w:p w:rsidR="0055535A" w:rsidRPr="00C17166" w:rsidRDefault="0055535A">
            <w:pPr>
              <w:pStyle w:val="Pieddepage"/>
              <w:keepNext/>
              <w:spacing w:before="120"/>
              <w:jc w:val="both"/>
              <w:rPr>
                <w:rFonts w:cs="Arial"/>
                <w:sz w:val="18"/>
                <w:szCs w:val="18"/>
              </w:rPr>
            </w:pPr>
            <w:r w:rsidRPr="00C17166">
              <w:rPr>
                <w:rFonts w:cs="Arial"/>
                <w:sz w:val="18"/>
                <w:szCs w:val="18"/>
              </w:rPr>
              <w:t>A cause de l’offre du marché local limitée il existe des difficultés à assurer la maintenance curative des équipements informatiques. La cellule ICT du Ministère, préconisée par le Plan National de développement de l’Informatique sanitaire pour reprendre à son compte cette problématique n’est toujours pas mise en place malgré le plaidoyer fait.</w:t>
            </w:r>
          </w:p>
        </w:tc>
      </w:tr>
    </w:tbl>
    <w:p w:rsidR="0055535A" w:rsidRDefault="0055535A" w:rsidP="0055535A">
      <w:pPr>
        <w:pStyle w:val="Titre2"/>
        <w:pageBreakBefore/>
        <w:numPr>
          <w:ilvl w:val="1"/>
          <w:numId w:val="16"/>
        </w:numPr>
        <w:tabs>
          <w:tab w:val="clear" w:pos="3978"/>
          <w:tab w:val="num" w:pos="576"/>
        </w:tabs>
        <w:ind w:left="578" w:hanging="578"/>
        <w:rPr>
          <w:bCs w:val="0"/>
        </w:rPr>
      </w:pPr>
      <w:bookmarkStart w:id="100" w:name="_Toc475972163"/>
      <w:r>
        <w:rPr>
          <w:bCs w:val="0"/>
        </w:rPr>
        <w:t>Volet 4 - SNIS : performance de l'output 3</w:t>
      </w:r>
      <w:bookmarkEnd w:id="100"/>
      <w:r>
        <w:rPr>
          <w:bCs w:val="0"/>
        </w:rPr>
        <w:t xml:space="preserve"> </w:t>
      </w:r>
    </w:p>
    <w:p w:rsidR="0055535A" w:rsidRDefault="005E7472" w:rsidP="005E7472">
      <w:pPr>
        <w:pStyle w:val="Titre3"/>
        <w:numPr>
          <w:ilvl w:val="0"/>
          <w:numId w:val="0"/>
        </w:numPr>
        <w:ind w:left="2138" w:hanging="720"/>
        <w:rPr>
          <w:rFonts w:eastAsia="Times New Roman" w:cs="Arial"/>
        </w:rPr>
      </w:pPr>
      <w:bookmarkStart w:id="101" w:name="_Toc475972164"/>
      <w:r>
        <w:t>2.5</w:t>
      </w:r>
      <w:r w:rsidR="0055535A">
        <w:t>.1 Progrès des indicateurs</w:t>
      </w:r>
      <w:bookmarkEnd w:id="101"/>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3"/>
        <w:gridCol w:w="875"/>
        <w:gridCol w:w="850"/>
        <w:gridCol w:w="851"/>
        <w:gridCol w:w="850"/>
        <w:gridCol w:w="851"/>
      </w:tblGrid>
      <w:tr w:rsidR="0055535A" w:rsidTr="0055535A">
        <w:trPr>
          <w:cantSplit/>
        </w:trPr>
        <w:tc>
          <w:tcPr>
            <w:tcW w:w="9780"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20"/>
                <w:szCs w:val="20"/>
              </w:rPr>
            </w:pPr>
            <w:r>
              <w:rPr>
                <w:b/>
                <w:sz w:val="20"/>
                <w:szCs w:val="20"/>
              </w:rPr>
              <w:t xml:space="preserve">Output 3 : </w:t>
            </w:r>
            <w:r>
              <w:rPr>
                <w:rFonts w:cs="Arial"/>
                <w:b/>
                <w:bCs/>
                <w:sz w:val="20"/>
                <w:szCs w:val="20"/>
              </w:rPr>
              <w:t>Les capacités des agents de santé en matière du SNIS sont renforcées à tous les échelons du système de santé</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 w:val="20"/>
                <w:szCs w:val="20"/>
              </w:rPr>
            </w:pPr>
            <w:r>
              <w:rPr>
                <w:rFonts w:ascii="Arial" w:hAnsi="Arial"/>
                <w:b/>
                <w:sz w:val="20"/>
                <w:szCs w:val="20"/>
              </w:rPr>
              <w:t>Indicateurs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 xml:space="preserve">Valeur de la </w:t>
            </w:r>
            <w:r>
              <w:rPr>
                <w:b/>
                <w:i/>
                <w:sz w:val="20"/>
                <w:szCs w:val="20"/>
              </w:rPr>
              <w:t>Baseline</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Valeur année N-1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Valeur année 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Cible année 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b/>
                <w:sz w:val="20"/>
                <w:szCs w:val="20"/>
              </w:rPr>
              <w:t>Cible finale</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Index"/>
              <w:suppressLineNumbers w:val="0"/>
              <w:rPr>
                <w:rFonts w:cs="Arial"/>
                <w:sz w:val="20"/>
                <w:szCs w:val="20"/>
              </w:rPr>
            </w:pPr>
          </w:p>
          <w:p w:rsidR="0055535A" w:rsidRDefault="0055535A">
            <w:pPr>
              <w:rPr>
                <w:rFonts w:cs="Arial"/>
                <w:sz w:val="20"/>
                <w:szCs w:val="20"/>
              </w:rPr>
            </w:pPr>
            <w:r>
              <w:rPr>
                <w:rFonts w:cs="Arial"/>
                <w:sz w:val="20"/>
                <w:szCs w:val="20"/>
              </w:rPr>
              <w:t>Taux d’exécution du plan de formation</w:t>
            </w:r>
          </w:p>
          <w:p w:rsidR="0055535A" w:rsidRDefault="0055535A">
            <w:pPr>
              <w:pStyle w:val="Index"/>
              <w:suppressLineNumbers w:val="0"/>
              <w:rPr>
                <w:rFonts w:cs="Arial"/>
                <w:sz w:val="20"/>
                <w:szCs w:val="20"/>
              </w:rPr>
            </w:pP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40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70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bCs/>
                <w:sz w:val="20"/>
                <w:szCs w:val="20"/>
              </w:rPr>
              <w:t>100%</w:t>
            </w:r>
          </w:p>
        </w:tc>
      </w:tr>
    </w:tbl>
    <w:p w:rsidR="0055535A" w:rsidRDefault="0055535A" w:rsidP="0055535A">
      <w:pPr>
        <w:pStyle w:val="Index"/>
        <w:suppressLineNumbers w:val="0"/>
        <w:rPr>
          <w:rFonts w:cs="Arial"/>
        </w:rPr>
      </w:pPr>
    </w:p>
    <w:p w:rsidR="0055535A" w:rsidRDefault="005E7472" w:rsidP="005E7472">
      <w:pPr>
        <w:pStyle w:val="Titre3"/>
        <w:numPr>
          <w:ilvl w:val="0"/>
          <w:numId w:val="0"/>
        </w:numPr>
        <w:ind w:left="2138" w:hanging="720"/>
      </w:pPr>
      <w:bookmarkStart w:id="102" w:name="_Toc475972165"/>
      <w:r>
        <w:t>2.5</w:t>
      </w:r>
      <w:r w:rsidR="0055535A">
        <w:t>.2 État d'avancement des principales activités</w:t>
      </w:r>
      <w:bookmarkEnd w:id="102"/>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19"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20"/>
              </w:rPr>
            </w:pPr>
            <w:r>
              <w:rPr>
                <w:b/>
                <w:sz w:val="20"/>
                <w:szCs w:val="20"/>
              </w:rPr>
              <w:t xml:space="preserve">État d'avancement des </w:t>
            </w:r>
            <w:r>
              <w:rPr>
                <w:b/>
                <w:sz w:val="20"/>
                <w:szCs w:val="20"/>
                <w:u w:val="single"/>
              </w:rPr>
              <w:t xml:space="preserve">principales </w:t>
            </w:r>
            <w:r>
              <w:rPr>
                <w:b/>
                <w:sz w:val="20"/>
                <w:szCs w:val="20"/>
              </w:rPr>
              <w:t xml:space="preserve">activités </w:t>
            </w:r>
            <w:r>
              <w:rPr>
                <w:rStyle w:val="Appelnotedebasdep"/>
                <w:rFonts w:eastAsia="Arial Unicode MS"/>
                <w:szCs w:val="20"/>
              </w:rPr>
              <w:footnoteReference w:id="5"/>
            </w:r>
          </w:p>
          <w:p w:rsidR="0055535A" w:rsidRDefault="0055535A">
            <w:pPr>
              <w:pStyle w:val="Pieddepage"/>
              <w:keepNext/>
              <w:spacing w:before="120"/>
              <w:rPr>
                <w:rFonts w:cs="Arial"/>
                <w:i/>
                <w:iCs/>
                <w:sz w:val="20"/>
                <w:szCs w:val="20"/>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20"/>
              </w:rPr>
            </w:pPr>
            <w:r>
              <w:rPr>
                <w:b/>
                <w:sz w:val="20"/>
                <w:szCs w:val="20"/>
              </w:rPr>
              <w:t>État d'avancement :</w:t>
            </w:r>
          </w:p>
        </w:tc>
      </w:tr>
      <w:tr w:rsidR="0055535A" w:rsidTr="0055535A">
        <w:trPr>
          <w:cantSplit/>
          <w:trHeight w:val="149"/>
        </w:trPr>
        <w:tc>
          <w:tcPr>
            <w:tcW w:w="6519"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20"/>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D</w:t>
            </w:r>
          </w:p>
        </w:tc>
      </w:tr>
      <w:tr w:rsidR="0055535A" w:rsidTr="0055535A">
        <w:trPr>
          <w:trHeight w:val="323"/>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1</w:t>
            </w:r>
            <w:r>
              <w:rPr>
                <w:rFonts w:cs="Arial"/>
                <w:kern w:val="0"/>
                <w:sz w:val="20"/>
                <w:szCs w:val="20"/>
                <w:lang w:eastAsia="fr-BE"/>
              </w:rPr>
              <w:t xml:space="preserve"> Etablir un plan de formation par niveau en partenariat avec les institutions nationales de formation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20"/>
                <w:szCs w:val="20"/>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2</w:t>
            </w:r>
            <w:r>
              <w:rPr>
                <w:rFonts w:cs="Arial"/>
                <w:kern w:val="0"/>
                <w:sz w:val="20"/>
                <w:szCs w:val="20"/>
                <w:lang w:eastAsia="fr-BE"/>
              </w:rPr>
              <w:t xml:space="preserve"> Organiser les formations complémentaires et continues tant pour le secteur public que le privé</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20"/>
                <w:szCs w:val="20"/>
              </w:rPr>
            </w:pPr>
          </w:p>
        </w:tc>
      </w:tr>
      <w:tr w:rsidR="0055535A" w:rsidTr="0055535A">
        <w:trPr>
          <w:trHeight w:val="72"/>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3</w:t>
            </w:r>
            <w:r>
              <w:rPr>
                <w:rFonts w:cs="Arial"/>
                <w:kern w:val="0"/>
                <w:sz w:val="20"/>
                <w:szCs w:val="20"/>
                <w:lang w:eastAsia="fr-BE"/>
              </w:rPr>
              <w:t xml:space="preserve"> Intégrer les compétences SNIS dans le système de supervisions intégrées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20"/>
                <w:szCs w:val="20"/>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4</w:t>
            </w:r>
            <w:r>
              <w:rPr>
                <w:rFonts w:cs="Arial"/>
                <w:kern w:val="0"/>
                <w:sz w:val="20"/>
                <w:szCs w:val="20"/>
                <w:lang w:eastAsia="fr-BE"/>
              </w:rPr>
              <w:t xml:space="preserve"> Appliquer aux responsables de la gestion du SNIS le processus de contractualisation menée actuellement au MSPLS</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color w:val="0070C0"/>
                <w:sz w:val="20"/>
                <w:szCs w:val="20"/>
              </w:rPr>
            </w:pPr>
            <w:r>
              <w:rPr>
                <w:rFonts w:cs="Arial"/>
                <w:sz w:val="20"/>
                <w:szCs w:val="20"/>
              </w:rPr>
              <w:t>x</w:t>
            </w: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20"/>
                <w:szCs w:val="20"/>
              </w:rPr>
            </w:pPr>
          </w:p>
        </w:tc>
      </w:tr>
    </w:tbl>
    <w:p w:rsidR="0055535A" w:rsidRDefault="0055535A" w:rsidP="0055535A">
      <w:pPr>
        <w:pStyle w:val="Index"/>
        <w:suppressLineNumbers w:val="0"/>
        <w:rPr>
          <w:rFonts w:cs="Arial"/>
          <w:sz w:val="20"/>
          <w:szCs w:val="20"/>
        </w:rPr>
      </w:pPr>
    </w:p>
    <w:p w:rsidR="0055535A" w:rsidRDefault="005E7472" w:rsidP="005E7472">
      <w:pPr>
        <w:pStyle w:val="Titre3"/>
        <w:numPr>
          <w:ilvl w:val="0"/>
          <w:numId w:val="0"/>
        </w:numPr>
        <w:ind w:left="2138" w:hanging="720"/>
        <w:rPr>
          <w:sz w:val="24"/>
        </w:rPr>
      </w:pPr>
      <w:bookmarkStart w:id="103" w:name="_Toc475972166"/>
      <w:r>
        <w:t>2.5</w:t>
      </w:r>
      <w:r w:rsidR="0055535A">
        <w:t>.3 Analyse des progrès réalisés</w:t>
      </w:r>
      <w:bookmarkEnd w:id="103"/>
    </w:p>
    <w:tbl>
      <w:tblPr>
        <w:tblW w:w="97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804"/>
      </w:tblGrid>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Lien entre les activités et l'output:</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sz w:val="20"/>
                <w:szCs w:val="20"/>
              </w:rPr>
            </w:pPr>
            <w:r>
              <w:rPr>
                <w:rFonts w:cs="Arial"/>
                <w:sz w:val="20"/>
                <w:szCs w:val="20"/>
              </w:rPr>
              <w:t>Les agents de santé, qui ont bénéficié des formations, occupent leurs postes et le système SNIS est opérationnel.</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b/>
                <w:sz w:val="20"/>
                <w:szCs w:val="20"/>
              </w:rPr>
            </w:pPr>
            <w:r>
              <w:rPr>
                <w:rFonts w:cs="Arial"/>
                <w:sz w:val="20"/>
                <w:szCs w:val="20"/>
              </w:rPr>
              <w:t>Progrès réalisés par rapport à l'atteinte de l'output (sur la base d’indicateurs) :</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sz w:val="20"/>
                <w:szCs w:val="20"/>
              </w:rPr>
            </w:pPr>
            <w:r>
              <w:rPr>
                <w:rFonts w:cs="Arial"/>
                <w:sz w:val="20"/>
                <w:szCs w:val="20"/>
              </w:rPr>
              <w:t>Il y a de progrès tangibles par rapport à l’output puisque les formations des niveaux décentralisés ont continué à être réalisées.</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b/>
                <w:sz w:val="20"/>
                <w:szCs w:val="20"/>
              </w:rPr>
            </w:pPr>
            <w:r>
              <w:rPr>
                <w:rFonts w:cs="Arial"/>
                <w:sz w:val="20"/>
                <w:szCs w:val="20"/>
              </w:rPr>
              <w:t>Difficultés qui se sont présentées, facteurs d'influence (positive ou négative) :</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sz w:val="20"/>
                <w:szCs w:val="20"/>
              </w:rPr>
            </w:pPr>
            <w:r>
              <w:rPr>
                <w:rFonts w:cs="Arial"/>
                <w:sz w:val="20"/>
                <w:szCs w:val="20"/>
              </w:rPr>
              <w:t>La suspension des appuis institutionnels à la suite des problèmes de gouvernance au Burundi a arrêté net certaines activités de formation au niveau des cadres du niveau central.</w:t>
            </w:r>
          </w:p>
          <w:p w:rsidR="0055535A" w:rsidRDefault="0055535A">
            <w:pPr>
              <w:pStyle w:val="Pieddepage"/>
              <w:keepNext/>
              <w:spacing w:before="120"/>
              <w:jc w:val="both"/>
              <w:rPr>
                <w:rFonts w:cs="Arial"/>
                <w:sz w:val="20"/>
                <w:szCs w:val="20"/>
              </w:rPr>
            </w:pPr>
            <w:r>
              <w:rPr>
                <w:rFonts w:cs="Arial"/>
                <w:sz w:val="20"/>
                <w:szCs w:val="20"/>
              </w:rPr>
              <w:t>Le budget de 180 000 euros destiné au processus de contractualisation des responsables SNIS est toujours suspendu.</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Résultats inattendus (positifs ou négatifs) :</w:t>
            </w:r>
          </w:p>
        </w:tc>
        <w:tc>
          <w:tcPr>
            <w:tcW w:w="6804"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20"/>
                <w:szCs w:val="20"/>
              </w:rPr>
            </w:pPr>
          </w:p>
        </w:tc>
      </w:tr>
    </w:tbl>
    <w:p w:rsidR="0055535A" w:rsidRDefault="0055535A" w:rsidP="0055535A">
      <w:pPr>
        <w:pStyle w:val="Index"/>
        <w:suppressLineNumbers w:val="0"/>
        <w:jc w:val="both"/>
        <w:rPr>
          <w:rFonts w:cs="Arial"/>
          <w:sz w:val="20"/>
          <w:szCs w:val="20"/>
        </w:rPr>
      </w:pPr>
    </w:p>
    <w:p w:rsidR="0055535A" w:rsidRDefault="0055535A" w:rsidP="0055535A">
      <w:pPr>
        <w:pStyle w:val="Titre2"/>
        <w:pageBreakBefore/>
        <w:numPr>
          <w:ilvl w:val="1"/>
          <w:numId w:val="16"/>
        </w:numPr>
        <w:tabs>
          <w:tab w:val="clear" w:pos="3978"/>
          <w:tab w:val="num" w:pos="576"/>
        </w:tabs>
        <w:ind w:left="578" w:hanging="578"/>
        <w:rPr>
          <w:bCs w:val="0"/>
          <w:sz w:val="28"/>
        </w:rPr>
      </w:pPr>
      <w:r>
        <w:rPr>
          <w:bCs w:val="0"/>
        </w:rPr>
        <w:t xml:space="preserve"> </w:t>
      </w:r>
      <w:bookmarkStart w:id="104" w:name="_Toc475972167"/>
      <w:r>
        <w:rPr>
          <w:bCs w:val="0"/>
        </w:rPr>
        <w:t>Volet 4 - SNIS : performance de l'output 4</w:t>
      </w:r>
      <w:bookmarkEnd w:id="104"/>
      <w:r>
        <w:rPr>
          <w:bCs w:val="0"/>
        </w:rPr>
        <w:t xml:space="preserve"> </w:t>
      </w:r>
    </w:p>
    <w:p w:rsidR="0055535A" w:rsidRDefault="0055535A" w:rsidP="0055535A">
      <w:pPr>
        <w:pStyle w:val="Titre3"/>
        <w:numPr>
          <w:ilvl w:val="2"/>
          <w:numId w:val="16"/>
        </w:numPr>
        <w:rPr>
          <w:rFonts w:eastAsia="Times New Roman" w:cs="Arial"/>
        </w:rPr>
      </w:pPr>
      <w:bookmarkStart w:id="105" w:name="_Toc475972168"/>
      <w:r>
        <w:t>Progrès des indicateurs</w:t>
      </w:r>
      <w:bookmarkEnd w:id="105"/>
    </w:p>
    <w:p w:rsidR="0055535A" w:rsidRDefault="0055535A" w:rsidP="0055535A"/>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3"/>
        <w:gridCol w:w="875"/>
        <w:gridCol w:w="850"/>
        <w:gridCol w:w="851"/>
        <w:gridCol w:w="850"/>
        <w:gridCol w:w="851"/>
      </w:tblGrid>
      <w:tr w:rsidR="0055535A" w:rsidTr="0055535A">
        <w:trPr>
          <w:cantSplit/>
        </w:trPr>
        <w:tc>
          <w:tcPr>
            <w:tcW w:w="9780"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20"/>
                <w:szCs w:val="20"/>
              </w:rPr>
            </w:pPr>
            <w:r>
              <w:rPr>
                <w:b/>
                <w:sz w:val="20"/>
                <w:szCs w:val="20"/>
              </w:rPr>
              <w:t>Output 4 : L’informatisation du secteur hospitalier est introduite et mise en échelle</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Cs w:val="24"/>
              </w:rPr>
            </w:pPr>
            <w:r>
              <w:rPr>
                <w:rFonts w:ascii="Arial" w:hAnsi="Arial"/>
                <w:b/>
              </w:rPr>
              <w:t>Indicateurs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 xml:space="preserve">Valeur de la </w:t>
            </w:r>
            <w:r>
              <w:rPr>
                <w:b/>
                <w:i/>
                <w:sz w:val="16"/>
              </w:rPr>
              <w:t>Baseline</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année 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finale</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La capitalisation de l'expérience pilote d'informatisation est faite en vue de la mise à l'échelle (nombre de produits développés)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b/>
                <w:bCs/>
                <w:sz w:val="18"/>
                <w:szCs w:val="18"/>
              </w:rPr>
            </w:pPr>
            <w:r>
              <w:rPr>
                <w:rFonts w:cs="Arial"/>
                <w:b/>
                <w:bCs/>
                <w:sz w:val="18"/>
                <w:szCs w:val="18"/>
              </w:rPr>
              <w:t xml:space="preserve">2                                                                                             </w:t>
            </w:r>
          </w:p>
        </w:tc>
      </w:tr>
    </w:tbl>
    <w:p w:rsidR="0055535A" w:rsidRDefault="0055535A" w:rsidP="0055535A">
      <w:pPr>
        <w:pStyle w:val="Index"/>
        <w:suppressLineNumbers w:val="0"/>
        <w:rPr>
          <w:rFonts w:cs="Arial"/>
        </w:rPr>
      </w:pPr>
    </w:p>
    <w:p w:rsidR="0055535A" w:rsidRDefault="0055535A" w:rsidP="0055535A">
      <w:pPr>
        <w:pStyle w:val="Titre3"/>
        <w:numPr>
          <w:ilvl w:val="2"/>
          <w:numId w:val="16"/>
        </w:numPr>
      </w:pPr>
      <w:bookmarkStart w:id="106" w:name="_Toc475972169"/>
      <w:r>
        <w:t>État d'avancement des principales activités</w:t>
      </w:r>
      <w:bookmarkEnd w:id="106"/>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21"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20"/>
              </w:rPr>
            </w:pPr>
            <w:r>
              <w:rPr>
                <w:b/>
                <w:sz w:val="20"/>
                <w:szCs w:val="20"/>
              </w:rPr>
              <w:t xml:space="preserve">État d'avancement des </w:t>
            </w:r>
            <w:r>
              <w:rPr>
                <w:b/>
                <w:sz w:val="20"/>
                <w:szCs w:val="20"/>
                <w:u w:val="single"/>
              </w:rPr>
              <w:t xml:space="preserve">principales </w:t>
            </w:r>
            <w:r>
              <w:rPr>
                <w:b/>
                <w:sz w:val="20"/>
                <w:szCs w:val="20"/>
              </w:rPr>
              <w:t xml:space="preserve">activités </w:t>
            </w:r>
            <w:r>
              <w:rPr>
                <w:rStyle w:val="Appelnotedebasdep"/>
                <w:rFonts w:eastAsia="Arial Unicode MS"/>
                <w:szCs w:val="20"/>
              </w:rPr>
              <w:footnoteReference w:id="6"/>
            </w:r>
          </w:p>
          <w:p w:rsidR="0055535A" w:rsidRDefault="0055535A">
            <w:pPr>
              <w:pStyle w:val="Pieddepage"/>
              <w:keepNext/>
              <w:spacing w:before="120"/>
              <w:rPr>
                <w:rFonts w:cs="Arial"/>
                <w:i/>
                <w:iCs/>
                <w:sz w:val="20"/>
                <w:szCs w:val="20"/>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20"/>
              </w:rPr>
            </w:pPr>
            <w:r>
              <w:rPr>
                <w:b/>
                <w:sz w:val="20"/>
                <w:szCs w:val="20"/>
              </w:rPr>
              <w:t>État d'avancement :</w:t>
            </w:r>
          </w:p>
        </w:tc>
      </w:tr>
      <w:tr w:rsidR="0055535A" w:rsidTr="0055535A">
        <w:trPr>
          <w:cantSplit/>
          <w:trHeight w:val="149"/>
        </w:trPr>
        <w:tc>
          <w:tcPr>
            <w:tcW w:w="6521"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20"/>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20"/>
              </w:rPr>
            </w:pPr>
            <w:r>
              <w:rPr>
                <w:sz w:val="20"/>
                <w:szCs w:val="20"/>
              </w:rPr>
              <w:t>D</w:t>
            </w:r>
          </w:p>
        </w:tc>
      </w:tr>
      <w:tr w:rsidR="0055535A" w:rsidTr="0055535A">
        <w:trPr>
          <w:trHeight w:val="323"/>
        </w:trPr>
        <w:tc>
          <w:tcPr>
            <w:tcW w:w="65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1</w:t>
            </w:r>
            <w:r>
              <w:rPr>
                <w:rFonts w:cs="Arial"/>
                <w:kern w:val="0"/>
                <w:sz w:val="20"/>
                <w:szCs w:val="20"/>
                <w:lang w:eastAsia="fr-BE"/>
              </w:rPr>
              <w:t xml:space="preserve"> Sélectionner les hôpitaux devant être inclus dans la phase d’extension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r>
      <w:tr w:rsidR="0055535A" w:rsidTr="0055535A">
        <w:trPr>
          <w:trHeight w:val="310"/>
        </w:trPr>
        <w:tc>
          <w:tcPr>
            <w:tcW w:w="65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rPr>
                <w:rFonts w:cs="Arial"/>
                <w:sz w:val="20"/>
                <w:szCs w:val="20"/>
              </w:rPr>
            </w:pPr>
            <w:r>
              <w:rPr>
                <w:rFonts w:cs="Arial"/>
                <w:sz w:val="20"/>
                <w:szCs w:val="20"/>
              </w:rPr>
              <w:t>2</w:t>
            </w:r>
            <w:r>
              <w:rPr>
                <w:rFonts w:cs="Arial"/>
                <w:kern w:val="0"/>
                <w:sz w:val="20"/>
                <w:szCs w:val="20"/>
                <w:lang w:eastAsia="fr-BE"/>
              </w:rPr>
              <w:t xml:space="preserve"> Etablir un Cahier des Charges et effectuer un état des lieux</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r>
      <w:tr w:rsidR="0055535A" w:rsidTr="0055535A">
        <w:trPr>
          <w:trHeight w:val="72"/>
        </w:trPr>
        <w:tc>
          <w:tcPr>
            <w:tcW w:w="65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3</w:t>
            </w:r>
            <w:r>
              <w:rPr>
                <w:rFonts w:cs="Arial"/>
                <w:kern w:val="0"/>
                <w:sz w:val="20"/>
                <w:szCs w:val="20"/>
                <w:lang w:eastAsia="fr-BE"/>
              </w:rPr>
              <w:t xml:space="preserve"> Exécuter le marché</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rPr>
                <w:rFonts w:cs="Arial"/>
                <w:sz w:val="20"/>
                <w:szCs w:val="20"/>
              </w:rPr>
            </w:pPr>
          </w:p>
        </w:tc>
      </w:tr>
      <w:tr w:rsidR="0055535A" w:rsidTr="0055535A">
        <w:trPr>
          <w:trHeight w:val="310"/>
        </w:trPr>
        <w:tc>
          <w:tcPr>
            <w:tcW w:w="652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20"/>
                <w:szCs w:val="20"/>
              </w:rPr>
            </w:pPr>
            <w:r>
              <w:rPr>
                <w:rFonts w:cs="Arial"/>
                <w:sz w:val="20"/>
                <w:szCs w:val="20"/>
              </w:rPr>
              <w:t xml:space="preserve">4 Tirer les leçons de la phase pilote </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r>
      <w:tr w:rsidR="0055535A" w:rsidTr="0055535A">
        <w:trPr>
          <w:trHeight w:val="323"/>
        </w:trPr>
        <w:tc>
          <w:tcPr>
            <w:tcW w:w="652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20"/>
                <w:szCs w:val="20"/>
              </w:rPr>
            </w:pPr>
            <w:r>
              <w:rPr>
                <w:rFonts w:cs="Arial"/>
                <w:sz w:val="20"/>
                <w:szCs w:val="20"/>
              </w:rPr>
              <w:t>5 Mettre à échelle à d’autres hôpitaux</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r>
    </w:tbl>
    <w:p w:rsidR="0055535A" w:rsidRDefault="0055535A" w:rsidP="0055535A">
      <w:pPr>
        <w:pStyle w:val="Index"/>
        <w:suppressLineNumbers w:val="0"/>
        <w:rPr>
          <w:rFonts w:cs="Arial"/>
          <w:sz w:val="20"/>
          <w:szCs w:val="20"/>
        </w:rPr>
      </w:pPr>
    </w:p>
    <w:p w:rsidR="0055535A" w:rsidRDefault="0055535A" w:rsidP="0055535A">
      <w:pPr>
        <w:pStyle w:val="Titre3"/>
        <w:numPr>
          <w:ilvl w:val="2"/>
          <w:numId w:val="16"/>
        </w:numPr>
        <w:rPr>
          <w:sz w:val="24"/>
        </w:rPr>
      </w:pPr>
      <w:bookmarkStart w:id="107" w:name="_Toc475972170"/>
      <w:r>
        <w:t>Analyse des progrès réalisés</w:t>
      </w:r>
      <w:bookmarkEnd w:id="107"/>
    </w:p>
    <w:tbl>
      <w:tblPr>
        <w:tblW w:w="97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804"/>
      </w:tblGrid>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Lien entre les activités et l'output:</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20"/>
                <w:szCs w:val="20"/>
              </w:rPr>
            </w:pPr>
            <w:r>
              <w:rPr>
                <w:rFonts w:cs="Arial"/>
                <w:sz w:val="20"/>
                <w:szCs w:val="20"/>
              </w:rPr>
              <w:t>Le pilotage de l’informatisation de 4 hôpitaux est fait et la mise en échelle a démarré avec la Clinique Louis Rwagasore de Bujumbura.</w:t>
            </w:r>
          </w:p>
        </w:tc>
      </w:tr>
      <w:tr w:rsidR="0055535A" w:rsidTr="0055535A">
        <w:tc>
          <w:tcPr>
            <w:tcW w:w="2978" w:type="dxa"/>
            <w:tcBorders>
              <w:top w:val="single" w:sz="4" w:space="0" w:color="auto"/>
              <w:left w:val="single" w:sz="4" w:space="0" w:color="auto"/>
              <w:bottom w:val="single" w:sz="4" w:space="0" w:color="auto"/>
              <w:right w:val="single" w:sz="4" w:space="0" w:color="auto"/>
            </w:tcBorders>
          </w:tcPr>
          <w:p w:rsidR="0055535A" w:rsidRDefault="0055535A">
            <w:pPr>
              <w:pStyle w:val="Illustration"/>
              <w:suppressLineNumbers w:val="0"/>
              <w:spacing w:before="0" w:after="0"/>
              <w:rPr>
                <w:rFonts w:cs="Arial"/>
                <w:sz w:val="20"/>
                <w:szCs w:val="20"/>
              </w:rPr>
            </w:pPr>
            <w:r>
              <w:rPr>
                <w:rFonts w:cs="Arial"/>
                <w:sz w:val="20"/>
                <w:szCs w:val="20"/>
              </w:rPr>
              <w:t>Progrès réalisés par rapport à l'atteinte de l'output (sur la base d’indicateurs) :</w:t>
            </w:r>
          </w:p>
          <w:p w:rsidR="0055535A" w:rsidRDefault="0055535A">
            <w:pPr>
              <w:pStyle w:val="Pieddepage"/>
              <w:keepNext/>
              <w:spacing w:before="120"/>
              <w:rPr>
                <w:rFonts w:cs="Arial"/>
                <w:b/>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ind w:left="175" w:hanging="175"/>
              <w:rPr>
                <w:rFonts w:cs="Arial"/>
                <w:sz w:val="20"/>
                <w:szCs w:val="20"/>
              </w:rPr>
            </w:pPr>
            <w:r>
              <w:rPr>
                <w:rFonts w:cs="Arial"/>
                <w:sz w:val="20"/>
                <w:szCs w:val="20"/>
              </w:rPr>
              <w:t>- Les 4 hôpitaux pilotes informatisés en 2015 exploitent tous les principales fonctionnalités implémentées (administration, facturation, laboratoire, statistiques). L’évaluation à mi-parcours a émis des appréciations positives du projet ainsi que des recommandations allant dans le sens de réduire le nombre d’hôpitaux à informatiser au profil d’une consolidation dans les 4 hôpitaux pilotes.</w:t>
            </w:r>
          </w:p>
          <w:p w:rsidR="0055535A" w:rsidRDefault="0055535A">
            <w:pPr>
              <w:pStyle w:val="Pieddepage"/>
              <w:keepNext/>
              <w:ind w:left="175" w:hanging="175"/>
              <w:rPr>
                <w:rFonts w:cs="Arial"/>
                <w:sz w:val="20"/>
                <w:szCs w:val="20"/>
              </w:rPr>
            </w:pPr>
            <w:r>
              <w:rPr>
                <w:rFonts w:cs="Arial"/>
                <w:sz w:val="20"/>
                <w:szCs w:val="20"/>
              </w:rPr>
              <w:t>- Des communications sur le processus et les résultats préliminaires ont été réalisées au cours d’un atelier de capitalisation tenu à Bruxelles en mars 2016</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b/>
                <w:sz w:val="20"/>
                <w:szCs w:val="20"/>
              </w:rPr>
            </w:pPr>
            <w:r>
              <w:rPr>
                <w:rFonts w:cs="Arial"/>
                <w:sz w:val="20"/>
                <w:szCs w:val="20"/>
              </w:rPr>
              <w:t>Difficultés qui se sont présentées, facteurs d'influence (positive ou négative) :</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20"/>
                <w:szCs w:val="20"/>
              </w:rPr>
            </w:pPr>
            <w:r>
              <w:rPr>
                <w:rFonts w:cs="Arial"/>
                <w:sz w:val="20"/>
                <w:szCs w:val="20"/>
              </w:rPr>
              <w:t>Les hôpitaux informatisés demandent des fonctionnalités supplémentaires alors que le contrat de la phase pilote est arrivé à terme.</w:t>
            </w:r>
          </w:p>
          <w:p w:rsidR="0055535A" w:rsidRDefault="0055535A">
            <w:pPr>
              <w:pStyle w:val="Pieddepage"/>
              <w:keepNext/>
              <w:spacing w:before="120"/>
              <w:rPr>
                <w:rFonts w:cs="Arial"/>
                <w:sz w:val="20"/>
                <w:szCs w:val="20"/>
              </w:rPr>
            </w:pPr>
            <w:r>
              <w:rPr>
                <w:rFonts w:cs="Arial"/>
                <w:sz w:val="20"/>
                <w:szCs w:val="20"/>
              </w:rPr>
              <w:t>Certains modules sont mal maitrisés et demandent consolidation ; il s’agit notamment des modules sur le dossier médical et la pharmacie.</w:t>
            </w:r>
          </w:p>
          <w:p w:rsidR="0055535A" w:rsidRDefault="0055535A">
            <w:pPr>
              <w:pStyle w:val="Pieddepage"/>
              <w:keepNext/>
              <w:spacing w:before="120"/>
              <w:rPr>
                <w:rFonts w:cs="Arial"/>
                <w:sz w:val="20"/>
                <w:szCs w:val="20"/>
              </w:rPr>
            </w:pPr>
            <w:r>
              <w:rPr>
                <w:rFonts w:cs="Arial"/>
                <w:sz w:val="20"/>
                <w:szCs w:val="20"/>
              </w:rPr>
              <w:t>Il va falloir y faire face quitte à réduire le nombre d’hôpitaux prévus pour l’extension.</w:t>
            </w:r>
          </w:p>
        </w:tc>
      </w:tr>
      <w:bookmarkEnd w:id="88"/>
      <w:bookmarkEnd w:id="89"/>
      <w:bookmarkEnd w:id="90"/>
    </w:tbl>
    <w:p w:rsidR="0055535A" w:rsidRDefault="0055535A" w:rsidP="0055535A">
      <w:pPr>
        <w:widowControl/>
        <w:suppressAutoHyphens w:val="0"/>
        <w:rPr>
          <w:rFonts w:eastAsia="Arial Unicode MS" w:cs="Arial"/>
          <w:b/>
          <w:bCs/>
          <w:color w:val="50B848"/>
          <w:kern w:val="28"/>
          <w:sz w:val="28"/>
          <w:szCs w:val="28"/>
        </w:rPr>
      </w:pPr>
      <w:r>
        <w:rPr>
          <w:rFonts w:cs="Arial"/>
          <w:snapToGrid w:val="0"/>
        </w:rPr>
        <w:br w:type="page"/>
      </w:r>
      <w:bookmarkStart w:id="108" w:name="_Toc411938876"/>
      <w:bookmarkStart w:id="109" w:name="_Toc412020061"/>
      <w:bookmarkStart w:id="110" w:name="_Toc370814285"/>
      <w:bookmarkStart w:id="111" w:name="_Toc370814209"/>
    </w:p>
    <w:p w:rsidR="0055535A" w:rsidRDefault="0055535A" w:rsidP="0055535A">
      <w:pPr>
        <w:pStyle w:val="Titre2"/>
        <w:numPr>
          <w:ilvl w:val="1"/>
          <w:numId w:val="16"/>
        </w:numPr>
        <w:tabs>
          <w:tab w:val="clear" w:pos="3978"/>
          <w:tab w:val="num" w:pos="576"/>
        </w:tabs>
        <w:ind w:left="576"/>
        <w:rPr>
          <w:rFonts w:cs="Arial"/>
          <w:sz w:val="28"/>
        </w:rPr>
      </w:pPr>
      <w:bookmarkStart w:id="112" w:name="_Toc475972171"/>
      <w:r>
        <w:rPr>
          <w:rFonts w:cs="Arial"/>
        </w:rPr>
        <w:t>Volet 5 : performance de l'output 1</w:t>
      </w:r>
      <w:bookmarkEnd w:id="112"/>
      <w:r>
        <w:rPr>
          <w:rFonts w:cs="Arial"/>
        </w:rPr>
        <w:t xml:space="preserve"> </w:t>
      </w:r>
    </w:p>
    <w:p w:rsidR="0055535A" w:rsidRDefault="0055535A" w:rsidP="0055535A">
      <w:pPr>
        <w:pStyle w:val="Titre3"/>
        <w:numPr>
          <w:ilvl w:val="2"/>
          <w:numId w:val="16"/>
        </w:numPr>
        <w:rPr>
          <w:rFonts w:eastAsia="Times New Roman" w:cs="Arial"/>
        </w:rPr>
      </w:pPr>
      <w:bookmarkStart w:id="113" w:name="_Toc475972172"/>
      <w:r>
        <w:t>Progrès des indicateurs</w:t>
      </w:r>
      <w:bookmarkEnd w:id="113"/>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3"/>
        <w:gridCol w:w="875"/>
        <w:gridCol w:w="850"/>
        <w:gridCol w:w="851"/>
        <w:gridCol w:w="850"/>
        <w:gridCol w:w="851"/>
      </w:tblGrid>
      <w:tr w:rsidR="0055535A" w:rsidTr="0055535A">
        <w:trPr>
          <w:cantSplit/>
        </w:trPr>
        <w:tc>
          <w:tcPr>
            <w:tcW w:w="9780"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20"/>
                <w:szCs w:val="20"/>
              </w:rPr>
            </w:pPr>
            <w:r>
              <w:rPr>
                <w:b/>
                <w:sz w:val="20"/>
                <w:szCs w:val="20"/>
              </w:rPr>
              <w:t>Output 1 :</w:t>
            </w:r>
            <w:r>
              <w:rPr>
                <w:sz w:val="20"/>
                <w:szCs w:val="20"/>
              </w:rPr>
              <w:t xml:space="preserve"> </w:t>
            </w:r>
            <w:r>
              <w:rPr>
                <w:b/>
                <w:sz w:val="20"/>
                <w:szCs w:val="20"/>
              </w:rPr>
              <w:t>Les capacités de la DISE dans ses missions clés sont renforcées</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Cs w:val="24"/>
              </w:rPr>
            </w:pPr>
            <w:r>
              <w:rPr>
                <w:rFonts w:ascii="Arial" w:hAnsi="Arial"/>
                <w:b/>
              </w:rPr>
              <w:t>Indicateurs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 xml:space="preserve">Valeur de la </w:t>
            </w:r>
            <w:r>
              <w:rPr>
                <w:b/>
                <w:i/>
                <w:sz w:val="16"/>
              </w:rPr>
              <w:t>Baseline</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année 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finale</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tcPr>
          <w:p w:rsidR="0055535A" w:rsidRDefault="0055535A" w:rsidP="0055535A">
            <w:pPr>
              <w:numPr>
                <w:ilvl w:val="0"/>
                <w:numId w:val="27"/>
              </w:numPr>
              <w:rPr>
                <w:rFonts w:cs="Arial"/>
                <w:color w:val="000000"/>
                <w:sz w:val="18"/>
                <w:szCs w:val="18"/>
                <w:lang w:val="fr-BE"/>
              </w:rPr>
            </w:pPr>
            <w:bookmarkStart w:id="114" w:name="OLE_LINK1"/>
            <w:r>
              <w:rPr>
                <w:rFonts w:cs="Arial"/>
                <w:color w:val="000000"/>
                <w:sz w:val="18"/>
                <w:szCs w:val="18"/>
                <w:lang w:val="fr-BE"/>
              </w:rPr>
              <w:t>Le PBF-C de la DISE est supérieur à 70 % (voir CTN)</w:t>
            </w:r>
            <w:bookmarkEnd w:id="114"/>
          </w:p>
          <w:p w:rsidR="0055535A" w:rsidRDefault="0055535A">
            <w:pPr>
              <w:rPr>
                <w:rFonts w:cs="Arial"/>
                <w:color w:val="000000"/>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83</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NA</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70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70</w:t>
            </w:r>
          </w:p>
        </w:tc>
      </w:tr>
      <w:tr w:rsidR="0055535A" w:rsidTr="0055535A">
        <w:trPr>
          <w:trHeight w:val="709"/>
        </w:trPr>
        <w:tc>
          <w:tcPr>
            <w:tcW w:w="5503" w:type="dxa"/>
            <w:tcBorders>
              <w:top w:val="single" w:sz="4" w:space="0" w:color="auto"/>
              <w:left w:val="single" w:sz="4" w:space="0" w:color="auto"/>
              <w:bottom w:val="single" w:sz="4" w:space="0" w:color="auto"/>
              <w:right w:val="single" w:sz="4" w:space="0" w:color="auto"/>
            </w:tcBorders>
            <w:vAlign w:val="center"/>
          </w:tcPr>
          <w:p w:rsidR="0055535A" w:rsidRDefault="0055535A" w:rsidP="0055535A">
            <w:pPr>
              <w:numPr>
                <w:ilvl w:val="0"/>
                <w:numId w:val="27"/>
              </w:numPr>
              <w:rPr>
                <w:rFonts w:cs="Arial"/>
                <w:color w:val="000000"/>
                <w:sz w:val="18"/>
                <w:szCs w:val="18"/>
                <w:lang w:val="fr-BE"/>
              </w:rPr>
            </w:pPr>
            <w:r>
              <w:rPr>
                <w:rFonts w:cs="Arial"/>
                <w:color w:val="000000"/>
                <w:sz w:val="18"/>
                <w:szCs w:val="18"/>
                <w:lang w:val="fr-BE"/>
              </w:rPr>
              <w:t>l'inventaire du patrimoine est fait et mis à jour (0)</w:t>
            </w:r>
          </w:p>
          <w:p w:rsidR="0055535A" w:rsidRDefault="0055535A">
            <w:pPr>
              <w:rPr>
                <w:rFonts w:cs="Arial"/>
                <w:color w:val="000000"/>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r>
      <w:tr w:rsidR="0055535A" w:rsidTr="0055535A">
        <w:trPr>
          <w:trHeight w:val="709"/>
        </w:trPr>
        <w:tc>
          <w:tcPr>
            <w:tcW w:w="5503" w:type="dxa"/>
            <w:tcBorders>
              <w:top w:val="single" w:sz="4" w:space="0" w:color="auto"/>
              <w:left w:val="single" w:sz="4" w:space="0" w:color="auto"/>
              <w:bottom w:val="single" w:sz="4" w:space="0" w:color="auto"/>
              <w:right w:val="single" w:sz="4" w:space="0" w:color="auto"/>
            </w:tcBorders>
            <w:vAlign w:val="center"/>
          </w:tcPr>
          <w:p w:rsidR="0055535A" w:rsidRDefault="0055535A" w:rsidP="0055535A">
            <w:pPr>
              <w:numPr>
                <w:ilvl w:val="0"/>
                <w:numId w:val="27"/>
              </w:numPr>
              <w:rPr>
                <w:rFonts w:cs="Arial"/>
                <w:color w:val="000000"/>
                <w:sz w:val="18"/>
                <w:szCs w:val="18"/>
                <w:lang w:val="fr-BE"/>
              </w:rPr>
            </w:pPr>
            <w:r>
              <w:rPr>
                <w:rFonts w:cs="Arial"/>
                <w:color w:val="000000"/>
                <w:sz w:val="18"/>
                <w:szCs w:val="18"/>
                <w:lang w:val="fr-BE"/>
              </w:rPr>
              <w:t>1 outil de programmation et suivi existe (0)</w:t>
            </w:r>
          </w:p>
          <w:p w:rsidR="0055535A" w:rsidRDefault="0055535A">
            <w:pPr>
              <w:ind w:left="720"/>
              <w:rPr>
                <w:rFonts w:cs="Arial"/>
                <w:color w:val="000000"/>
                <w:sz w:val="18"/>
                <w:szCs w:val="18"/>
                <w:lang w:val="fr-BE"/>
              </w:rPr>
            </w:pP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r>
      <w:tr w:rsidR="0055535A" w:rsidTr="0055535A">
        <w:trPr>
          <w:trHeight w:val="709"/>
        </w:trPr>
        <w:tc>
          <w:tcPr>
            <w:tcW w:w="5503" w:type="dxa"/>
            <w:tcBorders>
              <w:top w:val="single" w:sz="4" w:space="0" w:color="auto"/>
              <w:left w:val="single" w:sz="4" w:space="0" w:color="auto"/>
              <w:bottom w:val="single" w:sz="4" w:space="0" w:color="auto"/>
              <w:right w:val="single" w:sz="4" w:space="0" w:color="auto"/>
            </w:tcBorders>
            <w:vAlign w:val="center"/>
          </w:tcPr>
          <w:p w:rsidR="0055535A" w:rsidRDefault="0055535A" w:rsidP="0055535A">
            <w:pPr>
              <w:numPr>
                <w:ilvl w:val="0"/>
                <w:numId w:val="27"/>
              </w:numPr>
              <w:rPr>
                <w:rFonts w:cs="Arial"/>
                <w:color w:val="000000"/>
                <w:sz w:val="18"/>
                <w:szCs w:val="18"/>
                <w:lang w:val="fr-BE"/>
              </w:rPr>
            </w:pPr>
            <w:r>
              <w:rPr>
                <w:rFonts w:cs="Arial"/>
                <w:color w:val="000000"/>
                <w:sz w:val="18"/>
                <w:szCs w:val="18"/>
                <w:lang w:val="fr-BE"/>
              </w:rPr>
              <w:t>1 politique de gestion du patrimoine faite (0)</w:t>
            </w:r>
          </w:p>
          <w:p w:rsidR="0055535A" w:rsidRDefault="0055535A">
            <w:pPr>
              <w:ind w:left="720"/>
              <w:rPr>
                <w:rFonts w:cs="Arial"/>
                <w:color w:val="000000"/>
                <w:sz w:val="18"/>
                <w:szCs w:val="18"/>
                <w:lang w:val="fr-BE"/>
              </w:rPr>
            </w:pP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NA</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r>
      <w:tr w:rsidR="0055535A" w:rsidTr="0055535A">
        <w:trPr>
          <w:trHeight w:val="709"/>
        </w:trPr>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rsidP="0055535A">
            <w:pPr>
              <w:numPr>
                <w:ilvl w:val="0"/>
                <w:numId w:val="27"/>
              </w:numPr>
              <w:rPr>
                <w:rFonts w:cs="Arial"/>
                <w:color w:val="000000"/>
                <w:sz w:val="18"/>
                <w:szCs w:val="18"/>
                <w:lang w:val="fr-BE"/>
              </w:rPr>
            </w:pPr>
            <w:r>
              <w:rPr>
                <w:rFonts w:cs="Arial"/>
                <w:color w:val="000000"/>
                <w:sz w:val="18"/>
                <w:szCs w:val="18"/>
                <w:lang w:val="fr-BE"/>
              </w:rPr>
              <w:t>les outils utilisés (manuels, plans, guides…) intègrent des critères environnementaux;</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Non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Non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Non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Non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oui</w:t>
            </w:r>
          </w:p>
        </w:tc>
      </w:tr>
    </w:tbl>
    <w:p w:rsidR="0055535A" w:rsidRDefault="0055535A" w:rsidP="0055535A">
      <w:pPr>
        <w:pStyle w:val="Index"/>
        <w:suppressLineNumbers w:val="0"/>
        <w:rPr>
          <w:rFonts w:cs="Arial"/>
          <w:sz w:val="20"/>
          <w:szCs w:val="20"/>
        </w:rPr>
      </w:pPr>
      <w:r>
        <w:rPr>
          <w:rFonts w:cs="Arial"/>
          <w:sz w:val="20"/>
          <w:szCs w:val="20"/>
          <w:u w:val="single"/>
        </w:rPr>
        <w:t>NB</w:t>
      </w:r>
      <w:r>
        <w:rPr>
          <w:rFonts w:cs="Arial"/>
          <w:sz w:val="20"/>
          <w:szCs w:val="20"/>
        </w:rPr>
        <w:t>.</w:t>
      </w:r>
    </w:p>
    <w:p w:rsidR="0055535A" w:rsidRDefault="0055535A" w:rsidP="0055535A">
      <w:pPr>
        <w:pStyle w:val="Index"/>
        <w:suppressLineNumbers w:val="0"/>
        <w:rPr>
          <w:rFonts w:cs="Arial"/>
          <w:i/>
          <w:sz w:val="16"/>
          <w:szCs w:val="16"/>
        </w:rPr>
      </w:pPr>
      <w:r>
        <w:rPr>
          <w:rFonts w:cs="Arial"/>
          <w:i/>
          <w:sz w:val="16"/>
          <w:szCs w:val="16"/>
        </w:rPr>
        <w:t>Il faut noter que la Baseline du volet 5 devait être élaborée en 2015, malheureusement avec l’arrivée de la crise cette activité a été mise en attente. La situation étant restée tendue en 2016, celle-ci a été réalisée sommairement au niveau de l’équipe PAISS sur base des indicateurs du cadre logique du DTF. Une Baseline plus aboutie sera réalisée début 2017 en incluant les partenaires, bénéficiaires et avec l’appui de EST santé. Les SMCL étant suspendue, elle devra être présentée à un CCT et validée par le CVI.</w:t>
      </w:r>
    </w:p>
    <w:p w:rsidR="0055535A" w:rsidRDefault="0055535A" w:rsidP="0055535A">
      <w:pPr>
        <w:pStyle w:val="Index"/>
        <w:suppressLineNumbers w:val="0"/>
        <w:rPr>
          <w:rFonts w:cs="Arial"/>
        </w:rPr>
      </w:pPr>
    </w:p>
    <w:p w:rsidR="0055535A" w:rsidRDefault="0055535A" w:rsidP="0055535A">
      <w:pPr>
        <w:pStyle w:val="Titre3"/>
        <w:numPr>
          <w:ilvl w:val="2"/>
          <w:numId w:val="16"/>
        </w:numPr>
      </w:pPr>
      <w:bookmarkStart w:id="115" w:name="_Toc475972173"/>
      <w:r>
        <w:t>État d'avancement des principales activités</w:t>
      </w:r>
      <w:bookmarkEnd w:id="115"/>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19"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16"/>
              </w:rPr>
            </w:pPr>
            <w:r>
              <w:rPr>
                <w:b/>
                <w:sz w:val="20"/>
              </w:rPr>
              <w:t xml:space="preserve">État d'avancement des </w:t>
            </w:r>
            <w:r>
              <w:rPr>
                <w:b/>
                <w:sz w:val="20"/>
                <w:u w:val="single"/>
              </w:rPr>
              <w:t xml:space="preserve">principales </w:t>
            </w:r>
            <w:r>
              <w:rPr>
                <w:b/>
                <w:sz w:val="20"/>
              </w:rPr>
              <w:t xml:space="preserve">activités </w:t>
            </w:r>
            <w:r>
              <w:rPr>
                <w:rStyle w:val="Appelnotedebasdep"/>
                <w:rFonts w:eastAsia="Arial Unicode MS"/>
              </w:rPr>
              <w:footnoteReference w:id="7"/>
            </w:r>
          </w:p>
          <w:p w:rsidR="0055535A" w:rsidRDefault="0055535A">
            <w:pPr>
              <w:pStyle w:val="Pieddepage"/>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16"/>
              </w:rPr>
            </w:pPr>
            <w:r>
              <w:rPr>
                <w:b/>
                <w:sz w:val="20"/>
              </w:rPr>
              <w:t>État d'avancement :</w:t>
            </w:r>
          </w:p>
        </w:tc>
      </w:tr>
      <w:tr w:rsidR="0055535A" w:rsidTr="0055535A">
        <w:trPr>
          <w:cantSplit/>
          <w:trHeight w:val="149"/>
        </w:trPr>
        <w:tc>
          <w:tcPr>
            <w:tcW w:w="6519"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16"/>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D</w:t>
            </w:r>
          </w:p>
        </w:tc>
      </w:tr>
      <w:tr w:rsidR="0055535A" w:rsidTr="0055535A">
        <w:trPr>
          <w:trHeight w:val="323"/>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1</w:t>
            </w:r>
            <w:r>
              <w:rPr>
                <w:rFonts w:cs="Arial"/>
                <w:kern w:val="0"/>
                <w:sz w:val="16"/>
                <w:szCs w:val="16"/>
                <w:lang w:eastAsia="fr-BE"/>
              </w:rPr>
              <w:t xml:space="preserve"> Décrire les programmes types de construction et équipements des CDS et HD</w:t>
            </w:r>
            <w:r>
              <w:rPr>
                <w:rFonts w:cs="Arial"/>
                <w:b/>
                <w:sz w:val="16"/>
                <w:szCs w:val="16"/>
              </w:rPr>
              <w:t xml:space="preserve"> SUSPENDU</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2</w:t>
            </w:r>
            <w:r>
              <w:rPr>
                <w:rFonts w:cs="Arial"/>
                <w:kern w:val="0"/>
                <w:sz w:val="16"/>
                <w:szCs w:val="16"/>
                <w:lang w:eastAsia="fr-BE"/>
              </w:rPr>
              <w:t xml:space="preserve"> Elaborer et mettre à jour l’inventaire complet du patrimoine et services du MSPLS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72"/>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3</w:t>
            </w:r>
            <w:r>
              <w:rPr>
                <w:rFonts w:cs="Arial"/>
                <w:kern w:val="0"/>
                <w:sz w:val="16"/>
                <w:szCs w:val="16"/>
                <w:lang w:eastAsia="fr-BE"/>
              </w:rPr>
              <w:t xml:space="preserve"> Elaborer un outil de programmation et de suivi des investissements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6"/>
                <w:szCs w:val="16"/>
              </w:rPr>
            </w:pPr>
            <w:r>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4</w:t>
            </w:r>
            <w:r>
              <w:rPr>
                <w:rFonts w:cs="Arial"/>
                <w:kern w:val="0"/>
                <w:sz w:val="16"/>
                <w:szCs w:val="16"/>
                <w:lang w:eastAsia="fr-BE"/>
              </w:rPr>
              <w:t xml:space="preserve"> Décrire les normes d’acquisitions et les spécifications techniques du matériel</w:t>
            </w:r>
            <w:r>
              <w:rPr>
                <w:rFonts w:cs="Arial"/>
                <w:b/>
                <w:sz w:val="16"/>
                <w:szCs w:val="16"/>
              </w:rPr>
              <w:t xml:space="preserve"> SUSPENDU</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 xml:space="preserve">5 Participer au développement d’une politique de gestion du patrimoine. </w:t>
            </w:r>
            <w:r>
              <w:rPr>
                <w:rFonts w:cs="Arial"/>
                <w:b/>
                <w:sz w:val="16"/>
                <w:szCs w:val="16"/>
              </w:rPr>
              <w:t>SUSPENDU</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bl>
    <w:p w:rsidR="0055535A" w:rsidRDefault="0055535A" w:rsidP="0055535A">
      <w:pPr>
        <w:pStyle w:val="Index"/>
        <w:suppressLineNumbers w:val="0"/>
        <w:rPr>
          <w:rFonts w:cs="Arial"/>
          <w:sz w:val="20"/>
          <w:szCs w:val="20"/>
        </w:rPr>
      </w:pPr>
    </w:p>
    <w:p w:rsidR="0055535A" w:rsidRDefault="0055535A" w:rsidP="0055535A">
      <w:pPr>
        <w:pStyle w:val="Index"/>
        <w:suppressLineNumbers w:val="0"/>
        <w:rPr>
          <w:rFonts w:cs="Arial"/>
          <w:sz w:val="20"/>
          <w:szCs w:val="20"/>
        </w:rPr>
      </w:pPr>
    </w:p>
    <w:p w:rsidR="0055535A" w:rsidRDefault="0055535A" w:rsidP="0055535A">
      <w:pPr>
        <w:pStyle w:val="Titre3"/>
        <w:numPr>
          <w:ilvl w:val="2"/>
          <w:numId w:val="16"/>
        </w:numPr>
        <w:rPr>
          <w:sz w:val="24"/>
        </w:rPr>
      </w:pPr>
      <w:bookmarkStart w:id="116" w:name="_Toc475972174"/>
      <w:r>
        <w:t>Analyse des progrès réalisés</w:t>
      </w:r>
      <w:bookmarkEnd w:id="116"/>
    </w:p>
    <w:tbl>
      <w:tblPr>
        <w:tblW w:w="9781" w:type="dxa"/>
        <w:tblInd w:w="-128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707"/>
        <w:gridCol w:w="7074"/>
      </w:tblGrid>
      <w:tr w:rsidR="0055535A" w:rsidTr="0055535A">
        <w:tc>
          <w:tcPr>
            <w:tcW w:w="27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535A" w:rsidRDefault="0055535A">
            <w:pPr>
              <w:widowControl/>
              <w:suppressAutoHyphens w:val="0"/>
              <w:rPr>
                <w:rFonts w:cs="Arial"/>
                <w:kern w:val="0"/>
                <w:sz w:val="20"/>
                <w:szCs w:val="20"/>
                <w:lang w:eastAsia="fr-BE"/>
              </w:rPr>
            </w:pPr>
            <w:r>
              <w:rPr>
                <w:rFonts w:cs="Arial"/>
                <w:i/>
                <w:iCs/>
                <w:kern w:val="0"/>
                <w:sz w:val="20"/>
                <w:szCs w:val="20"/>
                <w:lang w:eastAsia="fr-BE"/>
              </w:rPr>
              <w:t>Lien entre les activités et l'output:</w:t>
            </w:r>
          </w:p>
        </w:tc>
        <w:tc>
          <w:tcPr>
            <w:tcW w:w="70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535A" w:rsidRDefault="0055535A">
            <w:pPr>
              <w:widowControl/>
              <w:suppressAutoHyphens w:val="0"/>
              <w:spacing w:before="120"/>
              <w:rPr>
                <w:rFonts w:cs="Arial"/>
                <w:kern w:val="0"/>
                <w:sz w:val="20"/>
                <w:szCs w:val="20"/>
                <w:lang w:eastAsia="fr-BE"/>
              </w:rPr>
            </w:pPr>
            <w:r>
              <w:rPr>
                <w:rFonts w:cs="Arial"/>
                <w:kern w:val="0"/>
                <w:sz w:val="20"/>
                <w:szCs w:val="20"/>
                <w:lang w:eastAsia="fr-BE"/>
              </w:rPr>
              <w:t>L'élaboration de l'inventaire du patrimoine et l'élaboration et la mise en place d'un logiciel de GMAO favorisent le renforcement des capacités de la DISE dans ses mission clés. Celle-ci a une vision de l'état de son patrimoine et des investissements à planifier pour assurer sa maintenance.</w:t>
            </w:r>
          </w:p>
          <w:p w:rsidR="0055535A" w:rsidRDefault="0055535A">
            <w:pPr>
              <w:widowControl/>
              <w:suppressAutoHyphens w:val="0"/>
              <w:spacing w:before="120"/>
              <w:rPr>
                <w:rFonts w:cs="Arial"/>
                <w:kern w:val="0"/>
                <w:sz w:val="20"/>
                <w:szCs w:val="20"/>
                <w:lang w:eastAsia="fr-BE"/>
              </w:rPr>
            </w:pPr>
            <w:r>
              <w:rPr>
                <w:rFonts w:cs="Arial"/>
                <w:kern w:val="0"/>
                <w:sz w:val="20"/>
                <w:szCs w:val="20"/>
                <w:lang w:eastAsia="fr-BE"/>
              </w:rPr>
              <w:t>Le renforcement des capacités de la DISE se fait au travers de toutes les activités du volet 5 qui sont réalisées de concert avec la Direction qui reste impliquée et motivée.</w:t>
            </w:r>
          </w:p>
        </w:tc>
      </w:tr>
      <w:tr w:rsidR="0055535A" w:rsidTr="0055535A">
        <w:tc>
          <w:tcPr>
            <w:tcW w:w="27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535A" w:rsidRDefault="0055535A">
            <w:pPr>
              <w:widowControl/>
              <w:suppressAutoHyphens w:val="0"/>
              <w:rPr>
                <w:rFonts w:cs="Arial"/>
                <w:kern w:val="0"/>
                <w:sz w:val="20"/>
                <w:szCs w:val="20"/>
                <w:lang w:val="fr-BE" w:eastAsia="fr-BE"/>
              </w:rPr>
            </w:pPr>
            <w:r>
              <w:rPr>
                <w:rFonts w:cs="Arial"/>
                <w:i/>
                <w:iCs/>
                <w:kern w:val="0"/>
                <w:sz w:val="20"/>
                <w:szCs w:val="20"/>
                <w:lang w:eastAsia="fr-BE"/>
              </w:rPr>
              <w:t>Progr</w:t>
            </w:r>
            <w:r>
              <w:rPr>
                <w:rFonts w:cs="Arial"/>
                <w:i/>
                <w:iCs/>
                <w:kern w:val="0"/>
                <w:sz w:val="20"/>
                <w:szCs w:val="20"/>
                <w:lang w:val="fr-BE" w:eastAsia="fr-BE"/>
              </w:rPr>
              <w:t>è</w:t>
            </w:r>
            <w:r>
              <w:rPr>
                <w:rFonts w:cs="Arial"/>
                <w:i/>
                <w:iCs/>
                <w:kern w:val="0"/>
                <w:sz w:val="20"/>
                <w:szCs w:val="20"/>
                <w:lang w:eastAsia="fr-BE"/>
              </w:rPr>
              <w:t>s réalisés par rapport à l'atteinte de l'output (sur la base d’indicateurs) :</w:t>
            </w:r>
          </w:p>
          <w:p w:rsidR="0055535A" w:rsidRDefault="0055535A">
            <w:pPr>
              <w:widowControl/>
              <w:suppressAutoHyphens w:val="0"/>
              <w:spacing w:before="120"/>
              <w:rPr>
                <w:rFonts w:cs="Arial"/>
                <w:kern w:val="0"/>
                <w:sz w:val="20"/>
                <w:szCs w:val="20"/>
                <w:lang w:val="fr-BE" w:eastAsia="fr-BE"/>
              </w:rPr>
            </w:pPr>
            <w:r>
              <w:rPr>
                <w:rFonts w:cs="Arial"/>
                <w:b/>
                <w:bCs/>
                <w:kern w:val="0"/>
                <w:sz w:val="20"/>
                <w:szCs w:val="20"/>
                <w:lang w:val="fr-BE" w:eastAsia="fr-BE"/>
              </w:rPr>
              <w:t> </w:t>
            </w:r>
          </w:p>
        </w:tc>
        <w:tc>
          <w:tcPr>
            <w:tcW w:w="70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535A" w:rsidRDefault="0055535A">
            <w:pPr>
              <w:widowControl/>
              <w:suppressAutoHyphens w:val="0"/>
              <w:rPr>
                <w:rFonts w:cs="Arial"/>
                <w:kern w:val="0"/>
                <w:sz w:val="20"/>
                <w:szCs w:val="20"/>
                <w:lang w:eastAsia="fr-BE"/>
              </w:rPr>
            </w:pPr>
            <w:r>
              <w:rPr>
                <w:rFonts w:cs="Arial"/>
                <w:kern w:val="0"/>
                <w:sz w:val="20"/>
                <w:szCs w:val="20"/>
                <w:lang w:eastAsia="fr-BE"/>
              </w:rPr>
              <w:t> - un logiciel de Gestion de la Maintenance assistée par ordinateur est développé. Ce logiciel est tiré d'un module existant d'Openclinic qui est développé et adapté au contexte. L'interface est donc connue des utilisateurs, permettant un apprentissage plus aisé du logiciel.</w:t>
            </w:r>
          </w:p>
        </w:tc>
      </w:tr>
      <w:tr w:rsidR="0055535A" w:rsidTr="0055535A">
        <w:tc>
          <w:tcPr>
            <w:tcW w:w="270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535A" w:rsidRDefault="0055535A">
            <w:pPr>
              <w:widowControl/>
              <w:suppressAutoHyphens w:val="0"/>
              <w:rPr>
                <w:rFonts w:cs="Arial"/>
                <w:kern w:val="0"/>
                <w:sz w:val="20"/>
                <w:szCs w:val="20"/>
                <w:lang w:val="fr-BE" w:eastAsia="fr-BE"/>
              </w:rPr>
            </w:pPr>
            <w:r>
              <w:rPr>
                <w:rFonts w:cs="Arial"/>
                <w:i/>
                <w:iCs/>
                <w:kern w:val="0"/>
                <w:sz w:val="20"/>
                <w:szCs w:val="20"/>
                <w:lang w:eastAsia="fr-BE"/>
              </w:rPr>
              <w:t>Difficult</w:t>
            </w:r>
            <w:r>
              <w:rPr>
                <w:rFonts w:cs="Arial"/>
                <w:i/>
                <w:iCs/>
                <w:kern w:val="0"/>
                <w:sz w:val="20"/>
                <w:szCs w:val="20"/>
                <w:lang w:val="fr-BE" w:eastAsia="fr-BE"/>
              </w:rPr>
              <w:t>é</w:t>
            </w:r>
            <w:r>
              <w:rPr>
                <w:rFonts w:cs="Arial"/>
                <w:i/>
                <w:iCs/>
                <w:kern w:val="0"/>
                <w:sz w:val="20"/>
                <w:szCs w:val="20"/>
                <w:lang w:eastAsia="fr-BE"/>
              </w:rPr>
              <w:t>s qui se sont présentées, facteurs d'influence (positive ou négative) :</w:t>
            </w:r>
          </w:p>
        </w:tc>
        <w:tc>
          <w:tcPr>
            <w:tcW w:w="70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5535A" w:rsidRDefault="0055535A">
            <w:pPr>
              <w:widowControl/>
              <w:suppressAutoHyphens w:val="0"/>
              <w:rPr>
                <w:rFonts w:cs="Arial"/>
                <w:kern w:val="0"/>
                <w:sz w:val="20"/>
                <w:szCs w:val="20"/>
                <w:lang w:eastAsia="fr-BE"/>
              </w:rPr>
            </w:pPr>
            <w:r>
              <w:rPr>
                <w:rFonts w:cs="Arial"/>
                <w:kern w:val="0"/>
                <w:sz w:val="20"/>
                <w:szCs w:val="20"/>
                <w:lang w:eastAsia="fr-BE"/>
              </w:rPr>
              <w:t>Un retard est accus</w:t>
            </w:r>
            <w:r>
              <w:rPr>
                <w:rFonts w:cs="Arial"/>
                <w:kern w:val="0"/>
                <w:sz w:val="20"/>
                <w:szCs w:val="20"/>
                <w:lang w:val="fr-BE" w:eastAsia="fr-BE"/>
              </w:rPr>
              <w:t>é</w:t>
            </w:r>
            <w:r>
              <w:rPr>
                <w:rFonts w:cs="Arial"/>
                <w:kern w:val="0"/>
                <w:sz w:val="20"/>
                <w:szCs w:val="20"/>
                <w:lang w:eastAsia="fr-BE"/>
              </w:rPr>
              <w:t xml:space="preserve"> sur la planification, en effet, la mission pour l'implémentation du logiciel initialement prévue en octobre 2016 a dû être reportée en 2017 suite aux blocages pour l'obtention des visas pour les consultants. Par ailleurs, initialement, il était prévu de procéder au recrutement de l'expert GMAO via un marché public ouvert. Dans un souci d'efficience et d'efficacité nous avons attendu l'attribution du contrat-cadre pour pouvoir en profiter et mobiliser l'expertise via des bons de commande.</w:t>
            </w:r>
          </w:p>
          <w:p w:rsidR="0055535A" w:rsidRDefault="0055535A">
            <w:pPr>
              <w:widowControl/>
              <w:suppressAutoHyphens w:val="0"/>
              <w:spacing w:before="120"/>
              <w:rPr>
                <w:rFonts w:cs="Arial"/>
                <w:kern w:val="0"/>
                <w:sz w:val="20"/>
                <w:szCs w:val="20"/>
                <w:lang w:val="fr-BE" w:eastAsia="fr-BE"/>
              </w:rPr>
            </w:pPr>
            <w:r>
              <w:rPr>
                <w:rFonts w:cs="Arial"/>
                <w:kern w:val="0"/>
                <w:sz w:val="20"/>
                <w:szCs w:val="20"/>
                <w:lang w:eastAsia="fr-BE"/>
              </w:rPr>
              <w:t>La DISE dans son rôle de direction opérationnelle doit pouvoir donner les éléments au MSPLS pour alimenter les normes infra/équipements pour la mise en œuvre du PNDS III. Celui-ci n’ayant pas vu le jour, le PNDS II a été étendu à 2018. Le travail réalisé en 2015 (programmes-types et révision des normes équipements des structures sanitaires) est donc resté à l’état de draft. Les travaux et équipements réalisés dans le cadre du Volet 5 devant se baser sur ces normes, il a été décidé de suivre celles du PNDS II en prenant déjà en compte les améliorations proposées par le PAISS/DISE.</w:t>
            </w:r>
          </w:p>
        </w:tc>
      </w:tr>
    </w:tbl>
    <w:p w:rsidR="0055535A" w:rsidRDefault="0055535A" w:rsidP="0055535A">
      <w:pPr>
        <w:jc w:val="both"/>
        <w:rPr>
          <w:sz w:val="20"/>
          <w:szCs w:val="20"/>
        </w:rPr>
      </w:pPr>
    </w:p>
    <w:p w:rsidR="0055535A" w:rsidRDefault="0055535A" w:rsidP="0055535A">
      <w:pPr>
        <w:pStyle w:val="Titre2"/>
        <w:numPr>
          <w:ilvl w:val="1"/>
          <w:numId w:val="16"/>
        </w:numPr>
        <w:tabs>
          <w:tab w:val="clear" w:pos="3978"/>
          <w:tab w:val="num" w:pos="576"/>
        </w:tabs>
        <w:ind w:left="576"/>
        <w:rPr>
          <w:rFonts w:cs="Arial"/>
          <w:sz w:val="28"/>
        </w:rPr>
      </w:pPr>
      <w:bookmarkStart w:id="117" w:name="_Toc475972175"/>
      <w:r>
        <w:rPr>
          <w:rFonts w:cs="Arial"/>
        </w:rPr>
        <w:t>Volet 5 : performance de l'output 2</w:t>
      </w:r>
      <w:bookmarkEnd w:id="117"/>
      <w:r>
        <w:rPr>
          <w:rFonts w:cs="Arial"/>
        </w:rPr>
        <w:t xml:space="preserve"> </w:t>
      </w:r>
    </w:p>
    <w:p w:rsidR="0055535A" w:rsidRDefault="0055535A" w:rsidP="0055535A">
      <w:pPr>
        <w:pStyle w:val="Titre3"/>
        <w:numPr>
          <w:ilvl w:val="2"/>
          <w:numId w:val="16"/>
        </w:numPr>
        <w:rPr>
          <w:rFonts w:eastAsia="Times New Roman" w:cs="Arial"/>
        </w:rPr>
      </w:pPr>
      <w:bookmarkStart w:id="118" w:name="_Toc475972176"/>
      <w:r>
        <w:t>Progrès des indicateurs</w:t>
      </w:r>
      <w:bookmarkEnd w:id="118"/>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992"/>
        <w:gridCol w:w="1134"/>
        <w:gridCol w:w="962"/>
        <w:gridCol w:w="850"/>
        <w:gridCol w:w="851"/>
      </w:tblGrid>
      <w:tr w:rsidR="0055535A" w:rsidTr="0055535A">
        <w:trPr>
          <w:cantSplit/>
        </w:trPr>
        <w:tc>
          <w:tcPr>
            <w:tcW w:w="9780"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20"/>
                <w:szCs w:val="20"/>
              </w:rPr>
            </w:pPr>
            <w:r>
              <w:rPr>
                <w:b/>
                <w:sz w:val="20"/>
                <w:szCs w:val="20"/>
              </w:rPr>
              <w:t>Output 2 :</w:t>
            </w:r>
            <w:r>
              <w:rPr>
                <w:sz w:val="20"/>
                <w:szCs w:val="20"/>
              </w:rPr>
              <w:t xml:space="preserve"> </w:t>
            </w:r>
            <w:r>
              <w:rPr>
                <w:b/>
                <w:sz w:val="20"/>
                <w:szCs w:val="20"/>
              </w:rPr>
              <w:t>Une stratégie nationale de gestion et de maintenance est élaborée et mise en œuvre dans les zones d’intervention</w:t>
            </w:r>
          </w:p>
        </w:tc>
      </w:tr>
      <w:tr w:rsidR="0055535A" w:rsidTr="0055535A">
        <w:tc>
          <w:tcPr>
            <w:tcW w:w="499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Cs w:val="24"/>
              </w:rPr>
            </w:pPr>
            <w:r>
              <w:rPr>
                <w:rFonts w:ascii="Arial" w:hAnsi="Arial"/>
                <w:b/>
              </w:rPr>
              <w:t>Indicateurs</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 xml:space="preserve">Valeur de la </w:t>
            </w:r>
            <w:r>
              <w:rPr>
                <w:b/>
                <w:i/>
                <w:sz w:val="16"/>
              </w:rPr>
              <w:t>Baseline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N-1</w:t>
            </w:r>
          </w:p>
        </w:tc>
        <w:tc>
          <w:tcPr>
            <w:tcW w:w="96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année 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finale</w:t>
            </w:r>
          </w:p>
        </w:tc>
      </w:tr>
      <w:tr w:rsidR="0055535A" w:rsidTr="0055535A">
        <w:tc>
          <w:tcPr>
            <w:tcW w:w="4991" w:type="dxa"/>
            <w:tcBorders>
              <w:top w:val="single" w:sz="4" w:space="0" w:color="auto"/>
              <w:left w:val="single" w:sz="4" w:space="0" w:color="auto"/>
              <w:bottom w:val="single" w:sz="4" w:space="0" w:color="auto"/>
              <w:right w:val="single" w:sz="4" w:space="0" w:color="auto"/>
            </w:tcBorders>
            <w:vAlign w:val="center"/>
          </w:tcPr>
          <w:p w:rsidR="0055535A" w:rsidRDefault="0055535A" w:rsidP="0055535A">
            <w:pPr>
              <w:numPr>
                <w:ilvl w:val="0"/>
                <w:numId w:val="28"/>
              </w:numPr>
              <w:rPr>
                <w:rFonts w:cs="Arial"/>
                <w:color w:val="000000"/>
                <w:sz w:val="18"/>
                <w:szCs w:val="18"/>
                <w:lang w:val="fr-BE"/>
              </w:rPr>
            </w:pPr>
            <w:r>
              <w:rPr>
                <w:rFonts w:cs="Arial"/>
                <w:color w:val="000000"/>
                <w:sz w:val="18"/>
                <w:szCs w:val="18"/>
                <w:lang w:val="fr-BE"/>
              </w:rPr>
              <w:t>1 document stratégie produit (0)</w:t>
            </w:r>
          </w:p>
          <w:p w:rsidR="0055535A" w:rsidRDefault="0055535A">
            <w:pPr>
              <w:rPr>
                <w:rFonts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96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r>
      <w:tr w:rsidR="0055535A" w:rsidTr="0055535A">
        <w:trPr>
          <w:trHeight w:val="709"/>
        </w:trPr>
        <w:tc>
          <w:tcPr>
            <w:tcW w:w="4991" w:type="dxa"/>
            <w:tcBorders>
              <w:top w:val="single" w:sz="4" w:space="0" w:color="auto"/>
              <w:left w:val="single" w:sz="4" w:space="0" w:color="auto"/>
              <w:bottom w:val="single" w:sz="4" w:space="0" w:color="auto"/>
              <w:right w:val="single" w:sz="4" w:space="0" w:color="auto"/>
            </w:tcBorders>
            <w:vAlign w:val="center"/>
          </w:tcPr>
          <w:p w:rsidR="0055535A" w:rsidRDefault="0055535A" w:rsidP="0055535A">
            <w:pPr>
              <w:numPr>
                <w:ilvl w:val="0"/>
                <w:numId w:val="28"/>
              </w:numPr>
              <w:rPr>
                <w:rFonts w:cs="Arial"/>
                <w:color w:val="000000"/>
                <w:sz w:val="18"/>
                <w:szCs w:val="18"/>
                <w:lang w:val="fr-BE"/>
              </w:rPr>
            </w:pPr>
            <w:r>
              <w:rPr>
                <w:rFonts w:cs="Arial"/>
                <w:color w:val="000000"/>
                <w:sz w:val="18"/>
                <w:szCs w:val="18"/>
                <w:lang w:val="fr-BE"/>
              </w:rPr>
              <w:t>Le dispositif de maintenance opérationnel à Kirundo et Muramvya (0)</w:t>
            </w:r>
          </w:p>
          <w:p w:rsidR="0055535A" w:rsidRDefault="0055535A">
            <w:pPr>
              <w:rPr>
                <w:rFonts w:cs="Arial"/>
                <w:color w:val="000000"/>
                <w:sz w:val="18"/>
                <w:szCs w:val="18"/>
                <w:lang w:val="fr-BE"/>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96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r>
      <w:tr w:rsidR="0055535A" w:rsidTr="0055535A">
        <w:trPr>
          <w:trHeight w:val="709"/>
        </w:trPr>
        <w:tc>
          <w:tcPr>
            <w:tcW w:w="4991" w:type="dxa"/>
            <w:tcBorders>
              <w:top w:val="single" w:sz="4" w:space="0" w:color="auto"/>
              <w:left w:val="single" w:sz="4" w:space="0" w:color="auto"/>
              <w:bottom w:val="single" w:sz="4" w:space="0" w:color="auto"/>
              <w:right w:val="single" w:sz="4" w:space="0" w:color="auto"/>
            </w:tcBorders>
            <w:vAlign w:val="center"/>
            <w:hideMark/>
          </w:tcPr>
          <w:p w:rsidR="0055535A" w:rsidRDefault="0055535A" w:rsidP="0055535A">
            <w:pPr>
              <w:numPr>
                <w:ilvl w:val="0"/>
                <w:numId w:val="28"/>
              </w:numPr>
              <w:rPr>
                <w:rFonts w:cs="Arial"/>
                <w:color w:val="000000"/>
                <w:sz w:val="18"/>
                <w:szCs w:val="18"/>
                <w:lang w:val="fr-BE"/>
              </w:rPr>
            </w:pPr>
            <w:r>
              <w:rPr>
                <w:rFonts w:cs="Arial"/>
                <w:color w:val="000000"/>
                <w:sz w:val="18"/>
                <w:szCs w:val="18"/>
                <w:lang w:val="fr-BE"/>
              </w:rPr>
              <w:t>délai d'intervention en cas de nécessité d'intervention connu et suivi (pas connu)</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inconnu</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inconnu</w:t>
            </w:r>
          </w:p>
        </w:tc>
        <w:tc>
          <w:tcPr>
            <w:tcW w:w="96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inconnu</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connu</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connu</w:t>
            </w:r>
          </w:p>
        </w:tc>
      </w:tr>
    </w:tbl>
    <w:p w:rsidR="0055535A" w:rsidRDefault="0055535A" w:rsidP="0055535A">
      <w:pPr>
        <w:pStyle w:val="Index"/>
        <w:suppressLineNumbers w:val="0"/>
        <w:rPr>
          <w:rFonts w:cs="Arial"/>
        </w:rPr>
      </w:pPr>
    </w:p>
    <w:p w:rsidR="0055535A" w:rsidRDefault="0055535A" w:rsidP="0055535A">
      <w:pPr>
        <w:pStyle w:val="Titre3"/>
        <w:numPr>
          <w:ilvl w:val="2"/>
          <w:numId w:val="16"/>
        </w:numPr>
      </w:pPr>
      <w:bookmarkStart w:id="119" w:name="_Toc475972177"/>
      <w:r>
        <w:t>État d'avancement des principales activités</w:t>
      </w:r>
      <w:bookmarkEnd w:id="119"/>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19"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16"/>
              </w:rPr>
            </w:pPr>
            <w:r>
              <w:rPr>
                <w:b/>
                <w:sz w:val="20"/>
              </w:rPr>
              <w:t xml:space="preserve">État d'avancement des </w:t>
            </w:r>
            <w:r>
              <w:rPr>
                <w:b/>
                <w:sz w:val="20"/>
                <w:u w:val="single"/>
              </w:rPr>
              <w:t xml:space="preserve">principales </w:t>
            </w:r>
            <w:r>
              <w:rPr>
                <w:b/>
                <w:sz w:val="20"/>
              </w:rPr>
              <w:t xml:space="preserve">activités </w:t>
            </w:r>
            <w:r>
              <w:rPr>
                <w:rStyle w:val="Appelnotedebasdep"/>
                <w:rFonts w:eastAsia="Arial Unicode MS"/>
              </w:rPr>
              <w:footnoteReference w:id="8"/>
            </w:r>
          </w:p>
          <w:p w:rsidR="0055535A" w:rsidRDefault="0055535A">
            <w:pPr>
              <w:pStyle w:val="Pieddepage"/>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16"/>
              </w:rPr>
            </w:pPr>
            <w:r>
              <w:rPr>
                <w:b/>
                <w:sz w:val="20"/>
              </w:rPr>
              <w:t>État d'avancement :</w:t>
            </w:r>
          </w:p>
        </w:tc>
      </w:tr>
      <w:tr w:rsidR="0055535A" w:rsidTr="0055535A">
        <w:trPr>
          <w:cantSplit/>
          <w:trHeight w:val="149"/>
        </w:trPr>
        <w:tc>
          <w:tcPr>
            <w:tcW w:w="6519"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16"/>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D</w:t>
            </w:r>
          </w:p>
        </w:tc>
      </w:tr>
      <w:tr w:rsidR="0055535A" w:rsidTr="0055535A">
        <w:trPr>
          <w:trHeight w:val="323"/>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1</w:t>
            </w:r>
            <w:r>
              <w:rPr>
                <w:rFonts w:cs="Arial"/>
                <w:kern w:val="0"/>
                <w:sz w:val="16"/>
                <w:szCs w:val="16"/>
                <w:lang w:eastAsia="fr-BE"/>
              </w:rPr>
              <w:t xml:space="preserve"> Elaborer une politique de maintenance nationale et holistique (</w:t>
            </w:r>
            <w:r>
              <w:rPr>
                <w:rFonts w:cs="Arial"/>
                <w:b/>
                <w:kern w:val="0"/>
                <w:sz w:val="16"/>
                <w:szCs w:val="16"/>
                <w:lang w:eastAsia="fr-BE"/>
              </w:rPr>
              <w:t>Suspendu)</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highlight w:val="cyan"/>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highlight w:val="cyan"/>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2</w:t>
            </w:r>
            <w:r>
              <w:rPr>
                <w:rFonts w:cs="Arial"/>
                <w:kern w:val="0"/>
                <w:sz w:val="16"/>
                <w:szCs w:val="16"/>
                <w:lang w:eastAsia="fr-BE"/>
              </w:rPr>
              <w:t xml:space="preserve"> Développer des outils pratiques et les disséminer au niveau national</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highlight w:val="cyan"/>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highlight w:val="cyan"/>
              </w:rPr>
            </w:pPr>
          </w:p>
        </w:tc>
      </w:tr>
      <w:tr w:rsidR="0055535A" w:rsidTr="0055535A">
        <w:trPr>
          <w:trHeight w:val="72"/>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3</w:t>
            </w:r>
            <w:r>
              <w:rPr>
                <w:rFonts w:cs="Arial"/>
                <w:kern w:val="0"/>
                <w:sz w:val="16"/>
                <w:szCs w:val="16"/>
                <w:lang w:eastAsia="fr-BE"/>
              </w:rPr>
              <w:t xml:space="preserve"> Elaborer le plan opérationnel de maintenance dans les zones d’intervention</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6"/>
                <w:szCs w:val="16"/>
                <w:highlight w:val="cyan"/>
              </w:rPr>
            </w:pPr>
            <w:r>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highlight w:val="cyan"/>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4</w:t>
            </w:r>
            <w:r>
              <w:rPr>
                <w:rFonts w:cs="Arial"/>
                <w:kern w:val="0"/>
                <w:sz w:val="16"/>
                <w:szCs w:val="16"/>
                <w:lang w:eastAsia="fr-BE"/>
              </w:rPr>
              <w:t xml:space="preserve"> Fournir les ressources nécessaires à la mise en œuvre du plan</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highlight w:val="cyan"/>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highlight w:val="cyan"/>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5 Renforcer les capacités de mise en œuvre du plan</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highlight w:val="cyan"/>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highlight w:val="cyan"/>
              </w:rPr>
            </w:pPr>
          </w:p>
        </w:tc>
      </w:tr>
    </w:tbl>
    <w:p w:rsidR="0055535A" w:rsidRDefault="0055535A" w:rsidP="0055535A">
      <w:pPr>
        <w:pStyle w:val="Index"/>
        <w:suppressLineNumbers w:val="0"/>
        <w:rPr>
          <w:rFonts w:cs="Arial"/>
          <w:sz w:val="20"/>
          <w:szCs w:val="20"/>
        </w:rPr>
      </w:pPr>
    </w:p>
    <w:p w:rsidR="0055535A" w:rsidRDefault="0055535A" w:rsidP="0055535A">
      <w:pPr>
        <w:pStyle w:val="Index"/>
        <w:suppressLineNumbers w:val="0"/>
        <w:rPr>
          <w:rFonts w:cs="Arial"/>
          <w:sz w:val="20"/>
          <w:szCs w:val="20"/>
        </w:rPr>
      </w:pPr>
    </w:p>
    <w:p w:rsidR="0055535A" w:rsidRDefault="0055535A" w:rsidP="0055535A">
      <w:pPr>
        <w:pStyle w:val="Titre3"/>
        <w:numPr>
          <w:ilvl w:val="2"/>
          <w:numId w:val="16"/>
        </w:numPr>
        <w:rPr>
          <w:sz w:val="24"/>
        </w:rPr>
      </w:pPr>
      <w:bookmarkStart w:id="120" w:name="_Toc475972178"/>
      <w:r>
        <w:t>Analyse des progrès réalisés</w:t>
      </w:r>
      <w:bookmarkEnd w:id="120"/>
    </w:p>
    <w:tbl>
      <w:tblPr>
        <w:tblW w:w="9782"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804"/>
      </w:tblGrid>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Lien entre les activités et l'output:</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sz w:val="20"/>
                <w:szCs w:val="20"/>
              </w:rPr>
            </w:pPr>
            <w:r>
              <w:rPr>
                <w:rFonts w:cs="Arial"/>
                <w:sz w:val="20"/>
                <w:szCs w:val="20"/>
              </w:rPr>
              <w:t xml:space="preserve">Malgré la non disponibilité de la politique nationale de maintenance, les activités réalisées reflètent les actions concrètes de celle-ci. En effet, le plan opérationnel de maintenance en cours d’élaboration est basé sur la mise en place des services de maintenance et des outils pratiques nécessaires à son opérationnalisation. </w:t>
            </w:r>
          </w:p>
        </w:tc>
      </w:tr>
      <w:tr w:rsidR="0055535A" w:rsidTr="0055535A">
        <w:tc>
          <w:tcPr>
            <w:tcW w:w="2978" w:type="dxa"/>
            <w:tcBorders>
              <w:top w:val="single" w:sz="4" w:space="0" w:color="auto"/>
              <w:left w:val="single" w:sz="4" w:space="0" w:color="auto"/>
              <w:bottom w:val="single" w:sz="4" w:space="0" w:color="auto"/>
              <w:right w:val="single" w:sz="4" w:space="0" w:color="auto"/>
            </w:tcBorders>
          </w:tcPr>
          <w:p w:rsidR="0055535A" w:rsidRDefault="0055535A">
            <w:pPr>
              <w:pStyle w:val="Illustration"/>
              <w:suppressLineNumbers w:val="0"/>
              <w:spacing w:before="0" w:after="0"/>
              <w:rPr>
                <w:rFonts w:cs="Arial"/>
                <w:sz w:val="20"/>
                <w:szCs w:val="20"/>
              </w:rPr>
            </w:pPr>
            <w:r>
              <w:rPr>
                <w:rFonts w:cs="Arial"/>
                <w:sz w:val="20"/>
                <w:szCs w:val="20"/>
              </w:rPr>
              <w:t>Progrès réalisés par rapport à l'atteinte de l'output (sur la base d’indicateurs) :</w:t>
            </w:r>
          </w:p>
          <w:p w:rsidR="0055535A" w:rsidRDefault="0055535A">
            <w:pPr>
              <w:pStyle w:val="Pieddepage"/>
              <w:keepNext/>
              <w:spacing w:before="120"/>
              <w:rPr>
                <w:rFonts w:cs="Arial"/>
                <w:b/>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rsidP="0055535A">
            <w:pPr>
              <w:pStyle w:val="Illustration"/>
              <w:numPr>
                <w:ilvl w:val="0"/>
                <w:numId w:val="25"/>
              </w:numPr>
              <w:suppressLineNumbers w:val="0"/>
              <w:spacing w:before="0" w:after="0"/>
              <w:jc w:val="both"/>
              <w:rPr>
                <w:rFonts w:cs="Arial"/>
                <w:i w:val="0"/>
                <w:sz w:val="20"/>
                <w:szCs w:val="20"/>
              </w:rPr>
            </w:pPr>
            <w:r>
              <w:rPr>
                <w:i w:val="0"/>
                <w:sz w:val="20"/>
                <w:szCs w:val="20"/>
              </w:rPr>
              <w:t xml:space="preserve">L’élaboration d'un plan opérationnel de maintenance dans les provinces de Kirundo et Muramvya a débuté en Q3 2016 grâce à la mobilisation d'un expert du contrat-cadre e-health. </w:t>
            </w:r>
          </w:p>
          <w:p w:rsidR="0055535A" w:rsidRDefault="0055535A" w:rsidP="0055535A">
            <w:pPr>
              <w:pStyle w:val="Illustration"/>
              <w:numPr>
                <w:ilvl w:val="0"/>
                <w:numId w:val="25"/>
              </w:numPr>
              <w:suppressLineNumbers w:val="0"/>
              <w:spacing w:before="0" w:after="0"/>
              <w:jc w:val="both"/>
              <w:rPr>
                <w:rFonts w:cs="Arial"/>
                <w:i w:val="0"/>
                <w:sz w:val="20"/>
                <w:szCs w:val="20"/>
              </w:rPr>
            </w:pPr>
            <w:r>
              <w:rPr>
                <w:i w:val="0"/>
                <w:sz w:val="20"/>
                <w:szCs w:val="20"/>
              </w:rPr>
              <w:t>Le processus de recrutement d'agents de maintenance de district a été entamé depuis le mois de septembre 2016 et devrait aboutir sur le recrutement par les BDS de leurs propres agents conformément aux profils de postes de leur structure</w:t>
            </w:r>
            <w:r>
              <w:rPr>
                <w:rFonts w:cs="Arial"/>
                <w:i w:val="0"/>
                <w:sz w:val="20"/>
                <w:szCs w:val="20"/>
              </w:rPr>
              <w:t xml:space="preserve">. </w:t>
            </w:r>
          </w:p>
          <w:p w:rsidR="0055535A" w:rsidRDefault="0055535A" w:rsidP="0055535A">
            <w:pPr>
              <w:pStyle w:val="Illustration"/>
              <w:numPr>
                <w:ilvl w:val="0"/>
                <w:numId w:val="25"/>
              </w:numPr>
              <w:suppressLineNumbers w:val="0"/>
              <w:spacing w:before="0" w:after="0"/>
              <w:jc w:val="both"/>
              <w:rPr>
                <w:rFonts w:cs="Arial"/>
                <w:i w:val="0"/>
                <w:sz w:val="20"/>
                <w:szCs w:val="20"/>
              </w:rPr>
            </w:pPr>
            <w:r>
              <w:rPr>
                <w:i w:val="0"/>
                <w:sz w:val="20"/>
                <w:szCs w:val="20"/>
              </w:rPr>
              <w:t xml:space="preserve">Au travers d'un rapprochement avec l'ONG belge médecins sans vacances, avec qui une synergie évidente en matière d'appui à la maintenance dans les structures sanitaires existe les techniciens des HD ont entamé une formation modulaire sur la maintenance biomédicale depuis le mois de juillet 2016. Deux modules ont été </w:t>
            </w:r>
            <w:r>
              <w:rPr>
                <w:rFonts w:cs="Arial"/>
                <w:i w:val="0"/>
                <w:sz w:val="20"/>
                <w:szCs w:val="20"/>
              </w:rPr>
              <w:t xml:space="preserve">organisés cette année à Bukavu. </w:t>
            </w:r>
          </w:p>
          <w:p w:rsidR="0055535A" w:rsidRDefault="0055535A" w:rsidP="0055535A">
            <w:pPr>
              <w:pStyle w:val="Paragraphedeliste"/>
              <w:widowControl w:val="0"/>
              <w:numPr>
                <w:ilvl w:val="0"/>
                <w:numId w:val="25"/>
              </w:numPr>
              <w:suppressAutoHyphens/>
              <w:snapToGrid/>
              <w:spacing w:after="0" w:line="240" w:lineRule="auto"/>
              <w:jc w:val="both"/>
              <w:rPr>
                <w:rFonts w:ascii="Arial" w:hAnsi="Arial" w:cs="Arial"/>
                <w:sz w:val="20"/>
                <w:szCs w:val="20"/>
              </w:rPr>
            </w:pPr>
            <w:r>
              <w:rPr>
                <w:rFonts w:ascii="Arial" w:hAnsi="Arial" w:cs="Arial"/>
                <w:sz w:val="20"/>
                <w:szCs w:val="20"/>
              </w:rPr>
              <w:t>Pour renforcer les services de maintenance mis en place, les ateliers logés au niveau des HD sont réhabilités et adaptés aux besoins de leurs activités. Le marché de travaux a été attribué fin 2016 et sera réceptionné en mars 2017.</w:t>
            </w:r>
          </w:p>
          <w:p w:rsidR="0055535A" w:rsidRDefault="0055535A" w:rsidP="0055535A">
            <w:pPr>
              <w:pStyle w:val="Illustration"/>
              <w:numPr>
                <w:ilvl w:val="0"/>
                <w:numId w:val="25"/>
              </w:numPr>
              <w:suppressLineNumbers w:val="0"/>
              <w:spacing w:before="0" w:after="0"/>
              <w:jc w:val="both"/>
              <w:rPr>
                <w:rFonts w:cs="Arial"/>
                <w:i w:val="0"/>
                <w:sz w:val="20"/>
                <w:szCs w:val="20"/>
              </w:rPr>
            </w:pPr>
            <w:r>
              <w:rPr>
                <w:i w:val="0"/>
                <w:sz w:val="20"/>
                <w:szCs w:val="20"/>
              </w:rPr>
              <w:t>La production d'outils pratiques a démarré et un draft de manuel d'entretien infrastructures et équipements comprenant des fiches techniques de maintenance a été rédigé</w:t>
            </w:r>
          </w:p>
          <w:p w:rsidR="0055535A" w:rsidRDefault="0055535A" w:rsidP="0055535A">
            <w:pPr>
              <w:pStyle w:val="Illustration"/>
              <w:numPr>
                <w:ilvl w:val="0"/>
                <w:numId w:val="25"/>
              </w:numPr>
              <w:suppressLineNumbers w:val="0"/>
              <w:spacing w:before="0" w:after="0"/>
              <w:jc w:val="both"/>
              <w:rPr>
                <w:rFonts w:cs="Arial"/>
                <w:i w:val="0"/>
                <w:sz w:val="20"/>
                <w:szCs w:val="20"/>
              </w:rPr>
            </w:pPr>
            <w:r>
              <w:rPr>
                <w:rFonts w:cs="Arial"/>
                <w:bCs/>
                <w:i w:val="0"/>
                <w:sz w:val="20"/>
                <w:szCs w:val="20"/>
              </w:rPr>
              <w:t>D’autres activités liées à la maintenance des équipements hospitaliers ont été réalisés notamment le diagnostic de l’état du groupe électrogène de l’hôpital de Kirundo, le diagnostic et réparations des équipements médicaux des HD Muramvya et Kiganda réalisés par une équipe de la DISE appuyée par le Volet 5</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b/>
                <w:sz w:val="20"/>
                <w:szCs w:val="20"/>
              </w:rPr>
            </w:pPr>
            <w:r>
              <w:rPr>
                <w:rFonts w:cs="Arial"/>
                <w:sz w:val="20"/>
                <w:szCs w:val="20"/>
              </w:rPr>
              <w:t>Difficultés qui se sont présentées, facteurs d'influence (positive ou négative) :</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jc w:val="both"/>
              <w:rPr>
                <w:rFonts w:cs="Arial"/>
                <w:sz w:val="20"/>
                <w:szCs w:val="20"/>
              </w:rPr>
            </w:pPr>
            <w:r>
              <w:rPr>
                <w:sz w:val="20"/>
                <w:szCs w:val="20"/>
              </w:rPr>
              <w:t>Beaucoup de retard a été pris pour cet output qui avait été mis en attente vu son caractère institutionnel, le contexte ne favorisant pas le travail sur la politique nationale de maintenance, le Volet 5 se concentre sur les aspects opérationnels.</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Résultats inattendus (positifs ou négatifs) :</w:t>
            </w:r>
          </w:p>
        </w:tc>
        <w:tc>
          <w:tcPr>
            <w:tcW w:w="6804" w:type="dxa"/>
            <w:tcBorders>
              <w:top w:val="single" w:sz="4" w:space="0" w:color="auto"/>
              <w:left w:val="single" w:sz="4" w:space="0" w:color="auto"/>
              <w:bottom w:val="single" w:sz="4" w:space="0" w:color="auto"/>
              <w:right w:val="single" w:sz="4" w:space="0" w:color="auto"/>
            </w:tcBorders>
          </w:tcPr>
          <w:p w:rsidR="0055535A" w:rsidRDefault="0055535A">
            <w:pPr>
              <w:jc w:val="both"/>
              <w:rPr>
                <w:sz w:val="20"/>
                <w:szCs w:val="20"/>
              </w:rPr>
            </w:pPr>
            <w:r>
              <w:rPr>
                <w:sz w:val="20"/>
                <w:szCs w:val="20"/>
              </w:rPr>
              <w:t>La collaboration avec l’ONG Médecins Sans Vacances permet d’harmoniser les pratiques en matière de stratégie de maintenance avec les structures que l’ONG appuyées également au Burundi (nomenclature commune des inventaires, mise en place d’une GMAO, fiches de maintenance, …). Cette synergie permet aussi de créer un vivier de connaissances et de renforcer les liens entre les techniciens biomédicaux de la région</w:t>
            </w:r>
          </w:p>
          <w:p w:rsidR="0055535A" w:rsidRDefault="0055535A">
            <w:pPr>
              <w:pStyle w:val="Index"/>
              <w:suppressLineNumbers w:val="0"/>
              <w:jc w:val="both"/>
              <w:rPr>
                <w:rFonts w:cs="Arial"/>
                <w:sz w:val="20"/>
                <w:szCs w:val="20"/>
              </w:rPr>
            </w:pPr>
          </w:p>
        </w:tc>
      </w:tr>
    </w:tbl>
    <w:p w:rsidR="0055535A" w:rsidRDefault="0055535A" w:rsidP="0055535A">
      <w:pPr>
        <w:widowControl/>
        <w:suppressAutoHyphens w:val="0"/>
        <w:jc w:val="both"/>
        <w:rPr>
          <w:rFonts w:eastAsia="Arial Unicode MS" w:cs="Arial"/>
          <w:b/>
          <w:color w:val="50B848"/>
          <w:kern w:val="28"/>
          <w:sz w:val="20"/>
          <w:szCs w:val="20"/>
        </w:rPr>
      </w:pPr>
      <w:r>
        <w:rPr>
          <w:rFonts w:cs="Arial"/>
          <w:bCs/>
          <w:snapToGrid w:val="0"/>
          <w:sz w:val="20"/>
          <w:szCs w:val="20"/>
        </w:rPr>
        <w:br w:type="page"/>
      </w:r>
    </w:p>
    <w:p w:rsidR="0055535A" w:rsidRDefault="0055535A" w:rsidP="0055535A">
      <w:pPr>
        <w:pStyle w:val="Titre2"/>
        <w:numPr>
          <w:ilvl w:val="1"/>
          <w:numId w:val="16"/>
        </w:numPr>
        <w:tabs>
          <w:tab w:val="clear" w:pos="3978"/>
          <w:tab w:val="num" w:pos="576"/>
        </w:tabs>
        <w:ind w:left="576"/>
        <w:rPr>
          <w:rFonts w:cs="Arial"/>
          <w:sz w:val="28"/>
        </w:rPr>
      </w:pPr>
      <w:bookmarkStart w:id="121" w:name="_Toc475972179"/>
      <w:r>
        <w:rPr>
          <w:rFonts w:cs="Arial"/>
        </w:rPr>
        <w:t>Volet 5 : performance de l'output 3</w:t>
      </w:r>
      <w:bookmarkEnd w:id="121"/>
      <w:r>
        <w:rPr>
          <w:rFonts w:cs="Arial"/>
        </w:rPr>
        <w:t xml:space="preserve"> </w:t>
      </w:r>
    </w:p>
    <w:p w:rsidR="0055535A" w:rsidRDefault="0055535A" w:rsidP="0055535A">
      <w:pPr>
        <w:pStyle w:val="Titre3"/>
        <w:numPr>
          <w:ilvl w:val="2"/>
          <w:numId w:val="16"/>
        </w:numPr>
        <w:rPr>
          <w:rFonts w:eastAsia="Times New Roman" w:cs="Arial"/>
        </w:rPr>
      </w:pPr>
      <w:bookmarkStart w:id="122" w:name="_Toc475972180"/>
      <w:r>
        <w:t>Progrès des indicateurs</w:t>
      </w:r>
      <w:bookmarkEnd w:id="122"/>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3"/>
        <w:gridCol w:w="875"/>
        <w:gridCol w:w="850"/>
        <w:gridCol w:w="851"/>
        <w:gridCol w:w="850"/>
        <w:gridCol w:w="851"/>
      </w:tblGrid>
      <w:tr w:rsidR="0055535A" w:rsidTr="0055535A">
        <w:trPr>
          <w:cantSplit/>
        </w:trPr>
        <w:tc>
          <w:tcPr>
            <w:tcW w:w="9780"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20"/>
                <w:szCs w:val="20"/>
              </w:rPr>
            </w:pPr>
            <w:r>
              <w:rPr>
                <w:b/>
                <w:sz w:val="20"/>
                <w:szCs w:val="20"/>
              </w:rPr>
              <w:t>Output 3 :</w:t>
            </w:r>
            <w:r>
              <w:rPr>
                <w:sz w:val="20"/>
                <w:szCs w:val="20"/>
              </w:rPr>
              <w:t xml:space="preserve"> </w:t>
            </w:r>
            <w:r>
              <w:rPr>
                <w:b/>
                <w:sz w:val="20"/>
                <w:szCs w:val="20"/>
              </w:rPr>
              <w:t>Les CDS des zones d’intervention sont mis à niveau selon les normes</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Cs w:val="24"/>
              </w:rPr>
            </w:pPr>
            <w:r>
              <w:rPr>
                <w:rFonts w:ascii="Arial" w:hAnsi="Arial"/>
                <w:b/>
              </w:rPr>
              <w:t>Indicateurs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 xml:space="preserve">Valeur de la </w:t>
            </w:r>
            <w:r>
              <w:rPr>
                <w:b/>
                <w:i/>
                <w:sz w:val="16"/>
              </w:rPr>
              <w:t>Baseline</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année 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finale</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tcPr>
          <w:p w:rsidR="0055535A" w:rsidRDefault="0055535A" w:rsidP="0055535A">
            <w:pPr>
              <w:numPr>
                <w:ilvl w:val="0"/>
                <w:numId w:val="28"/>
              </w:numPr>
              <w:rPr>
                <w:rFonts w:cs="Arial"/>
                <w:color w:val="000000"/>
                <w:sz w:val="18"/>
                <w:szCs w:val="18"/>
                <w:lang w:val="fr-BE"/>
              </w:rPr>
            </w:pPr>
            <w:r>
              <w:rPr>
                <w:rFonts w:cs="Arial"/>
                <w:color w:val="000000"/>
                <w:sz w:val="18"/>
                <w:szCs w:val="18"/>
                <w:lang w:val="fr-BE"/>
              </w:rPr>
              <w:t>Nombre de centres répondant aux normes dans les zones d'intervention (0/59)</w:t>
            </w:r>
          </w:p>
          <w:p w:rsidR="0055535A" w:rsidRDefault="0055535A">
            <w:pPr>
              <w:rPr>
                <w:rFonts w:cs="Arial"/>
                <w:color w:val="000000"/>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r>
              <w:rPr>
                <w:rFonts w:cs="Arial"/>
                <w:b/>
                <w:bCs/>
                <w:sz w:val="18"/>
                <w:szCs w:val="18"/>
              </w:rPr>
              <w:t>0</w:t>
            </w:r>
          </w:p>
          <w:p w:rsidR="0055535A" w:rsidRDefault="0055535A">
            <w:pPr>
              <w:jc w:val="center"/>
              <w:rPr>
                <w:rFonts w:cs="Arial"/>
                <w:b/>
                <w:bCs/>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59*</w:t>
            </w:r>
          </w:p>
        </w:tc>
      </w:tr>
      <w:tr w:rsidR="0055535A" w:rsidTr="0055535A">
        <w:trPr>
          <w:trHeight w:val="709"/>
        </w:trPr>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rsidP="0055535A">
            <w:pPr>
              <w:numPr>
                <w:ilvl w:val="0"/>
                <w:numId w:val="28"/>
              </w:numPr>
              <w:rPr>
                <w:rFonts w:cs="Arial"/>
                <w:color w:val="000000"/>
                <w:sz w:val="18"/>
                <w:szCs w:val="18"/>
              </w:rPr>
            </w:pPr>
            <w:r>
              <w:rPr>
                <w:rFonts w:cs="Arial"/>
                <w:color w:val="000000"/>
                <w:sz w:val="18"/>
                <w:szCs w:val="18"/>
                <w:lang w:val="fr-BE"/>
              </w:rPr>
              <w:t>taux de CDS aux normes en matière environnementale (gestion déchets, énergie renouvelable)</w:t>
            </w:r>
          </w:p>
        </w:tc>
        <w:tc>
          <w:tcPr>
            <w:tcW w:w="875"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r>
              <w:rPr>
                <w:rFonts w:cs="Arial"/>
                <w:b/>
                <w:bCs/>
                <w:sz w:val="18"/>
                <w:szCs w:val="18"/>
              </w:rPr>
              <w:t>0</w:t>
            </w:r>
          </w:p>
          <w:p w:rsidR="0055535A" w:rsidRDefault="0055535A">
            <w:pPr>
              <w:jc w:val="center"/>
              <w:rPr>
                <w:rFonts w:cs="Arial"/>
                <w:b/>
                <w:bCs/>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59</w:t>
            </w:r>
          </w:p>
        </w:tc>
      </w:tr>
    </w:tbl>
    <w:p w:rsidR="0055535A" w:rsidRDefault="0055535A" w:rsidP="0055535A">
      <w:pPr>
        <w:pStyle w:val="Index"/>
        <w:suppressLineNumbers w:val="0"/>
        <w:rPr>
          <w:rFonts w:cs="Arial"/>
        </w:rPr>
      </w:pPr>
      <w:r>
        <w:rPr>
          <w:rFonts w:cs="Arial"/>
        </w:rPr>
        <w:t xml:space="preserve">* </w:t>
      </w:r>
      <w:r>
        <w:rPr>
          <w:rFonts w:asciiTheme="minorHAnsi" w:hAnsiTheme="minorHAnsi" w:cs="Arial"/>
          <w:sz w:val="18"/>
          <w:szCs w:val="18"/>
        </w:rPr>
        <w:t>Les travaux sont prévus en 2017 et la norme de 59 est en voie de révision</w:t>
      </w:r>
    </w:p>
    <w:p w:rsidR="0055535A" w:rsidRDefault="0055535A" w:rsidP="0055535A">
      <w:pPr>
        <w:pStyle w:val="Titre3"/>
        <w:numPr>
          <w:ilvl w:val="2"/>
          <w:numId w:val="16"/>
        </w:numPr>
      </w:pPr>
      <w:bookmarkStart w:id="123" w:name="_Toc475972181"/>
      <w:r>
        <w:t>État d'avancement des principales activités</w:t>
      </w:r>
      <w:bookmarkEnd w:id="123"/>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19"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16"/>
              </w:rPr>
            </w:pPr>
            <w:r>
              <w:rPr>
                <w:b/>
                <w:sz w:val="20"/>
              </w:rPr>
              <w:t xml:space="preserve">État d'avancement des </w:t>
            </w:r>
            <w:r>
              <w:rPr>
                <w:b/>
                <w:sz w:val="20"/>
                <w:u w:val="single"/>
              </w:rPr>
              <w:t xml:space="preserve">principales </w:t>
            </w:r>
            <w:r>
              <w:rPr>
                <w:b/>
                <w:sz w:val="20"/>
              </w:rPr>
              <w:t xml:space="preserve">activités </w:t>
            </w:r>
            <w:r>
              <w:rPr>
                <w:rStyle w:val="Appelnotedebasdep"/>
                <w:rFonts w:eastAsia="Arial Unicode MS"/>
              </w:rPr>
              <w:footnoteReference w:id="9"/>
            </w:r>
          </w:p>
          <w:p w:rsidR="0055535A" w:rsidRDefault="0055535A">
            <w:pPr>
              <w:pStyle w:val="Pieddepage"/>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16"/>
              </w:rPr>
            </w:pPr>
            <w:r>
              <w:rPr>
                <w:b/>
                <w:sz w:val="20"/>
              </w:rPr>
              <w:t>État d'avancement :</w:t>
            </w:r>
          </w:p>
        </w:tc>
      </w:tr>
      <w:tr w:rsidR="0055535A" w:rsidTr="0055535A">
        <w:trPr>
          <w:cantSplit/>
          <w:trHeight w:val="149"/>
        </w:trPr>
        <w:tc>
          <w:tcPr>
            <w:tcW w:w="6519"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16"/>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D</w:t>
            </w:r>
          </w:p>
        </w:tc>
      </w:tr>
      <w:tr w:rsidR="0055535A" w:rsidTr="0055535A">
        <w:trPr>
          <w:trHeight w:val="323"/>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8"/>
                <w:szCs w:val="18"/>
              </w:rPr>
            </w:pPr>
            <w:r>
              <w:rPr>
                <w:rFonts w:cs="Arial"/>
                <w:sz w:val="18"/>
                <w:szCs w:val="18"/>
              </w:rPr>
              <w:t>1 Réaliser l’état des lieux</w:t>
            </w:r>
            <w:r>
              <w:rPr>
                <w:rFonts w:cs="Arial"/>
                <w:kern w:val="0"/>
                <w:sz w:val="18"/>
                <w:szCs w:val="18"/>
                <w:lang w:eastAsia="fr-BE"/>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8"/>
                <w:szCs w:val="18"/>
              </w:rPr>
            </w:pPr>
            <w:r>
              <w:rPr>
                <w:rFonts w:cs="Arial"/>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8"/>
                <w:szCs w:val="18"/>
              </w:rPr>
            </w:pPr>
            <w:r>
              <w:rPr>
                <w:rFonts w:cs="Arial"/>
                <w:sz w:val="18"/>
                <w:szCs w:val="18"/>
              </w:rPr>
              <w:t>2</w:t>
            </w:r>
            <w:r>
              <w:rPr>
                <w:rFonts w:cs="Arial"/>
                <w:kern w:val="0"/>
                <w:sz w:val="18"/>
                <w:szCs w:val="18"/>
                <w:lang w:eastAsia="fr-BE"/>
              </w:rPr>
              <w:t xml:space="preserve"> Analyser  la conformité des CDS aux normes et élaborer les priorités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8"/>
                <w:szCs w:val="18"/>
              </w:rPr>
            </w:pPr>
            <w:r>
              <w:rPr>
                <w:rFonts w:cs="Arial"/>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r>
      <w:tr w:rsidR="0055535A" w:rsidTr="0055535A">
        <w:trPr>
          <w:trHeight w:val="72"/>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8"/>
                <w:szCs w:val="18"/>
              </w:rPr>
            </w:pPr>
            <w:r>
              <w:rPr>
                <w:rFonts w:cs="Arial"/>
                <w:sz w:val="18"/>
                <w:szCs w:val="18"/>
              </w:rPr>
              <w:t>3</w:t>
            </w:r>
            <w:r>
              <w:rPr>
                <w:rFonts w:cs="Arial"/>
                <w:kern w:val="0"/>
                <w:sz w:val="18"/>
                <w:szCs w:val="18"/>
                <w:lang w:eastAsia="fr-BE"/>
              </w:rPr>
              <w:t xml:space="preserve"> Concevoir et réaliser les acquisitions et les travaux de constructions prioritaires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8"/>
                <w:szCs w:val="18"/>
              </w:rPr>
            </w:pPr>
            <w:r>
              <w:rPr>
                <w:rFonts w:cs="Arial"/>
                <w:sz w:val="18"/>
                <w:szCs w:val="18"/>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8"/>
                <w:szCs w:val="18"/>
              </w:rPr>
            </w:pPr>
            <w:r>
              <w:rPr>
                <w:rFonts w:cs="Arial"/>
                <w:sz w:val="18"/>
                <w:szCs w:val="18"/>
              </w:rPr>
              <w:t>4</w:t>
            </w:r>
            <w:r>
              <w:rPr>
                <w:rFonts w:cs="Arial"/>
                <w:kern w:val="0"/>
                <w:sz w:val="18"/>
                <w:szCs w:val="18"/>
                <w:lang w:eastAsia="fr-BE"/>
              </w:rPr>
              <w:t xml:space="preserve"> Réaliser un accès à des sources d’énergie renouvelable dans les CDS des zones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8"/>
                <w:szCs w:val="18"/>
              </w:rPr>
            </w:pPr>
            <w:r>
              <w:rPr>
                <w:rFonts w:cs="Arial"/>
                <w:sz w:val="18"/>
                <w:szCs w:val="18"/>
              </w:rPr>
              <w:t>x</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r>
    </w:tbl>
    <w:p w:rsidR="0055535A" w:rsidRDefault="0055535A" w:rsidP="0055535A">
      <w:pPr>
        <w:pStyle w:val="Index"/>
        <w:suppressLineNumbers w:val="0"/>
        <w:rPr>
          <w:rFonts w:cs="Arial"/>
          <w:sz w:val="20"/>
          <w:szCs w:val="20"/>
        </w:rPr>
      </w:pPr>
    </w:p>
    <w:p w:rsidR="0055535A" w:rsidRDefault="0055535A" w:rsidP="0055535A">
      <w:pPr>
        <w:pStyle w:val="Titre3"/>
        <w:numPr>
          <w:ilvl w:val="2"/>
          <w:numId w:val="16"/>
        </w:numPr>
        <w:rPr>
          <w:sz w:val="24"/>
        </w:rPr>
      </w:pPr>
      <w:bookmarkStart w:id="124" w:name="_Toc475972182"/>
      <w:r>
        <w:t>Analyse des progrès réalisés</w:t>
      </w:r>
      <w:bookmarkEnd w:id="124"/>
    </w:p>
    <w:tbl>
      <w:tblPr>
        <w:tblW w:w="9782" w:type="dxa"/>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804"/>
      </w:tblGrid>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Lien entre les activités et l'output:</w:t>
            </w:r>
          </w:p>
        </w:tc>
        <w:tc>
          <w:tcPr>
            <w:tcW w:w="6804" w:type="dxa"/>
            <w:tcBorders>
              <w:top w:val="single" w:sz="4" w:space="0" w:color="auto"/>
              <w:left w:val="single" w:sz="4" w:space="0" w:color="auto"/>
              <w:bottom w:val="single" w:sz="4" w:space="0" w:color="auto"/>
              <w:right w:val="single" w:sz="4" w:space="0" w:color="auto"/>
            </w:tcBorders>
            <w:hideMark/>
          </w:tcPr>
          <w:p w:rsidR="0055535A" w:rsidRPr="00DE23B1" w:rsidRDefault="0055535A">
            <w:pPr>
              <w:widowControl/>
              <w:suppressAutoHyphens w:val="0"/>
              <w:jc w:val="both"/>
              <w:rPr>
                <w:rFonts w:cs="Arial"/>
                <w:bCs/>
                <w:sz w:val="18"/>
                <w:szCs w:val="18"/>
              </w:rPr>
            </w:pPr>
            <w:r w:rsidRPr="00DE23B1">
              <w:rPr>
                <w:rFonts w:cs="Arial"/>
                <w:bCs/>
                <w:sz w:val="18"/>
                <w:szCs w:val="18"/>
              </w:rPr>
              <w:t xml:space="preserve">Un travail en amont sur l'élaboration de normes s'est fait dans le cadre de l'output 1, ensuite un état des lieux des CDS a été réalisé.  Un diagnostic immobilier et mobilier complet de tous les CDS a permis d'avoir aujourd'hui une vision claire sur l'état de ces structures et des appuis nécessaires pour les mettre aux normes. </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b/>
                <w:sz w:val="20"/>
                <w:szCs w:val="20"/>
              </w:rPr>
            </w:pPr>
            <w:r>
              <w:rPr>
                <w:rFonts w:cs="Arial"/>
                <w:sz w:val="20"/>
                <w:szCs w:val="20"/>
              </w:rPr>
              <w:t>Progrès réalisés par rapport à l'atteinte de l'output (sur la base d’indicateurs) :</w:t>
            </w:r>
          </w:p>
        </w:tc>
        <w:tc>
          <w:tcPr>
            <w:tcW w:w="6804" w:type="dxa"/>
            <w:tcBorders>
              <w:top w:val="single" w:sz="4" w:space="0" w:color="auto"/>
              <w:left w:val="single" w:sz="4" w:space="0" w:color="auto"/>
              <w:bottom w:val="single" w:sz="4" w:space="0" w:color="auto"/>
              <w:right w:val="single" w:sz="4" w:space="0" w:color="auto"/>
            </w:tcBorders>
            <w:hideMark/>
          </w:tcPr>
          <w:p w:rsidR="0055535A" w:rsidRPr="00DE23B1" w:rsidRDefault="0055535A">
            <w:pPr>
              <w:widowControl/>
              <w:suppressAutoHyphens w:val="0"/>
              <w:jc w:val="both"/>
              <w:rPr>
                <w:rFonts w:cs="Arial"/>
                <w:bCs/>
                <w:sz w:val="18"/>
                <w:szCs w:val="18"/>
              </w:rPr>
            </w:pPr>
            <w:r w:rsidRPr="00DE23B1">
              <w:rPr>
                <w:rFonts w:cs="Arial"/>
                <w:bCs/>
                <w:sz w:val="18"/>
                <w:szCs w:val="18"/>
              </w:rPr>
              <w:t xml:space="preserve">Au vu de l'enveloppe budgétaire disponible et des réhabilitations/extensions nécessaires pour une mise aux normes, une priorisation des appuis a dû se faire. Progrès réalisés : </w:t>
            </w:r>
          </w:p>
          <w:p w:rsidR="0055535A" w:rsidRPr="00DE23B1" w:rsidRDefault="0055535A" w:rsidP="0055535A">
            <w:pPr>
              <w:pStyle w:val="Paragraphedeliste"/>
              <w:numPr>
                <w:ilvl w:val="0"/>
                <w:numId w:val="29"/>
              </w:numPr>
              <w:snapToGrid/>
              <w:spacing w:after="0" w:line="240" w:lineRule="auto"/>
              <w:jc w:val="both"/>
              <w:rPr>
                <w:rFonts w:ascii="Arial" w:hAnsi="Arial" w:cs="Arial"/>
                <w:bCs/>
                <w:sz w:val="18"/>
                <w:szCs w:val="18"/>
              </w:rPr>
            </w:pPr>
            <w:r w:rsidRPr="00DE23B1">
              <w:rPr>
                <w:rFonts w:ascii="Arial" w:hAnsi="Arial" w:cs="Arial"/>
                <w:bCs/>
                <w:sz w:val="18"/>
                <w:szCs w:val="18"/>
              </w:rPr>
              <w:t>Elaboration du référentiel pour la priorisation des CDS nécessiteux et validation en atelier avec la DISE et les Médecins chefs de Province et de district</w:t>
            </w:r>
          </w:p>
          <w:p w:rsidR="0055535A" w:rsidRPr="00DE23B1" w:rsidRDefault="0055535A" w:rsidP="0055535A">
            <w:pPr>
              <w:pStyle w:val="Paragraphedeliste"/>
              <w:numPr>
                <w:ilvl w:val="0"/>
                <w:numId w:val="29"/>
              </w:numPr>
              <w:snapToGrid/>
              <w:spacing w:after="0" w:line="240" w:lineRule="auto"/>
              <w:jc w:val="both"/>
              <w:rPr>
                <w:rFonts w:ascii="Arial" w:hAnsi="Arial" w:cs="Arial"/>
                <w:bCs/>
                <w:sz w:val="18"/>
                <w:szCs w:val="18"/>
              </w:rPr>
            </w:pPr>
            <w:r w:rsidRPr="00DE23B1">
              <w:rPr>
                <w:rFonts w:ascii="Arial" w:hAnsi="Arial" w:cs="Arial"/>
                <w:bCs/>
                <w:sz w:val="18"/>
                <w:szCs w:val="18"/>
              </w:rPr>
              <w:t>Réalisation des études complètes pour les 6 CDS appuyés et validation du CSC par l’ensemble des parties prenantes (DISE et BPS/BDS):</w:t>
            </w:r>
          </w:p>
          <w:p w:rsidR="0055535A" w:rsidRPr="00DE23B1" w:rsidRDefault="0055535A" w:rsidP="0055535A">
            <w:pPr>
              <w:pStyle w:val="Paragraphedeliste"/>
              <w:numPr>
                <w:ilvl w:val="0"/>
                <w:numId w:val="29"/>
              </w:numPr>
              <w:snapToGrid/>
              <w:spacing w:after="0" w:line="240" w:lineRule="auto"/>
              <w:jc w:val="both"/>
              <w:rPr>
                <w:rFonts w:cs="Arial"/>
                <w:bCs/>
                <w:sz w:val="18"/>
                <w:szCs w:val="18"/>
              </w:rPr>
            </w:pPr>
            <w:r w:rsidRPr="00DE23B1">
              <w:rPr>
                <w:rFonts w:ascii="Arial" w:hAnsi="Arial" w:cs="Arial"/>
                <w:bCs/>
                <w:sz w:val="18"/>
                <w:szCs w:val="18"/>
              </w:rPr>
              <w:t>Elaboration du CSC pour la fourniture et l’installation de systèmes photovoltaïque dans 20 CDS en province de Kirundo et 9 à Muramvya (passé en régie). L’attribution du marché s’est faite en novembre 2016.</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b/>
                <w:sz w:val="20"/>
                <w:szCs w:val="20"/>
              </w:rPr>
            </w:pPr>
            <w:r>
              <w:rPr>
                <w:rFonts w:cs="Arial"/>
                <w:sz w:val="20"/>
                <w:szCs w:val="20"/>
              </w:rPr>
              <w:t>Difficultés qui se sont présentées, facteurs d'influence (positive ou négative) :</w:t>
            </w:r>
          </w:p>
        </w:tc>
        <w:tc>
          <w:tcPr>
            <w:tcW w:w="6804" w:type="dxa"/>
            <w:tcBorders>
              <w:top w:val="single" w:sz="4" w:space="0" w:color="auto"/>
              <w:left w:val="single" w:sz="4" w:space="0" w:color="auto"/>
              <w:bottom w:val="single" w:sz="4" w:space="0" w:color="auto"/>
              <w:right w:val="single" w:sz="4" w:space="0" w:color="auto"/>
            </w:tcBorders>
            <w:hideMark/>
          </w:tcPr>
          <w:p w:rsidR="0055535A" w:rsidRPr="00DE23B1" w:rsidRDefault="0055535A">
            <w:pPr>
              <w:pStyle w:val="Pieddepage"/>
              <w:keepNext/>
              <w:spacing w:before="120"/>
              <w:jc w:val="both"/>
              <w:rPr>
                <w:rFonts w:cs="Arial"/>
                <w:sz w:val="18"/>
                <w:szCs w:val="18"/>
              </w:rPr>
            </w:pPr>
            <w:r w:rsidRPr="00DE23B1">
              <w:rPr>
                <w:rFonts w:cs="Arial"/>
                <w:sz w:val="18"/>
                <w:szCs w:val="18"/>
              </w:rPr>
              <w:t>Relance du marché des photovoltaïques à la dernière étape d’attribution (en Q4-2015) pour le mettre sous le mode régie suite à la nouvelle stratégie des interventions CTB au Burundi et retard dans le processus de passation en régie (rapport d’évaluation initial refusé par l’Inspecteur des Finances, plainte d’un soumissionnaire).</w:t>
            </w:r>
          </w:p>
        </w:tc>
      </w:tr>
      <w:tr w:rsidR="0055535A" w:rsidTr="0055535A">
        <w:tc>
          <w:tcPr>
            <w:tcW w:w="297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Résultat inattendu</w:t>
            </w:r>
          </w:p>
        </w:tc>
        <w:tc>
          <w:tcPr>
            <w:tcW w:w="6804"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sz w:val="20"/>
                <w:szCs w:val="20"/>
              </w:rPr>
            </w:pPr>
            <w:r>
              <w:rPr>
                <w:rFonts w:cs="Arial"/>
                <w:sz w:val="20"/>
                <w:szCs w:val="20"/>
              </w:rPr>
              <w:t>Les études ont été réalisées par l’équipe DISE/PAISS et ont permis de contribuer au renforcement des capacités des ingénieurs du Ministère qui ont élaboré le CSC avec l’appui du PAISS.</w:t>
            </w:r>
          </w:p>
        </w:tc>
      </w:tr>
    </w:tbl>
    <w:p w:rsidR="0055535A" w:rsidRDefault="0055535A" w:rsidP="0055535A">
      <w:pPr>
        <w:widowControl/>
        <w:suppressAutoHyphens w:val="0"/>
        <w:jc w:val="both"/>
        <w:rPr>
          <w:rFonts w:cs="Arial"/>
          <w:bCs/>
          <w:sz w:val="20"/>
          <w:szCs w:val="20"/>
        </w:rPr>
      </w:pPr>
    </w:p>
    <w:p w:rsidR="0055535A" w:rsidRDefault="0055535A" w:rsidP="0055535A">
      <w:pPr>
        <w:widowControl/>
        <w:suppressAutoHyphens w:val="0"/>
        <w:jc w:val="both"/>
        <w:rPr>
          <w:rFonts w:eastAsia="Arial Unicode MS" w:cs="Arial"/>
          <w:b/>
          <w:color w:val="50B848"/>
          <w:kern w:val="28"/>
          <w:sz w:val="20"/>
          <w:szCs w:val="20"/>
        </w:rPr>
      </w:pPr>
    </w:p>
    <w:p w:rsidR="0055535A" w:rsidRDefault="0055535A" w:rsidP="0055535A">
      <w:pPr>
        <w:pStyle w:val="Titre2"/>
        <w:numPr>
          <w:ilvl w:val="1"/>
          <w:numId w:val="16"/>
        </w:numPr>
        <w:tabs>
          <w:tab w:val="clear" w:pos="3978"/>
          <w:tab w:val="num" w:pos="576"/>
        </w:tabs>
        <w:ind w:left="576"/>
        <w:rPr>
          <w:rFonts w:cs="Arial"/>
          <w:sz w:val="28"/>
        </w:rPr>
      </w:pPr>
      <w:bookmarkStart w:id="125" w:name="_Toc475972183"/>
      <w:r>
        <w:rPr>
          <w:rFonts w:cs="Arial"/>
        </w:rPr>
        <w:t>Volet 5 : performance de l'output 4</w:t>
      </w:r>
      <w:bookmarkEnd w:id="125"/>
      <w:r>
        <w:rPr>
          <w:rFonts w:cs="Arial"/>
        </w:rPr>
        <w:t xml:space="preserve"> </w:t>
      </w:r>
    </w:p>
    <w:p w:rsidR="0055535A" w:rsidRDefault="0055535A" w:rsidP="0055535A">
      <w:pPr>
        <w:pStyle w:val="Titre3"/>
        <w:numPr>
          <w:ilvl w:val="2"/>
          <w:numId w:val="16"/>
        </w:numPr>
        <w:rPr>
          <w:rFonts w:eastAsia="Times New Roman" w:cs="Arial"/>
        </w:rPr>
      </w:pPr>
      <w:bookmarkStart w:id="126" w:name="_Toc475972184"/>
      <w:r>
        <w:t>Progrès des indicateurs</w:t>
      </w:r>
      <w:bookmarkEnd w:id="126"/>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3"/>
        <w:gridCol w:w="875"/>
        <w:gridCol w:w="850"/>
        <w:gridCol w:w="851"/>
        <w:gridCol w:w="850"/>
        <w:gridCol w:w="851"/>
      </w:tblGrid>
      <w:tr w:rsidR="0055535A" w:rsidTr="0055535A">
        <w:trPr>
          <w:cantSplit/>
        </w:trPr>
        <w:tc>
          <w:tcPr>
            <w:tcW w:w="9780"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20"/>
                <w:szCs w:val="20"/>
              </w:rPr>
            </w:pPr>
            <w:r>
              <w:rPr>
                <w:b/>
                <w:sz w:val="20"/>
                <w:szCs w:val="20"/>
              </w:rPr>
              <w:t>Output 4 :</w:t>
            </w:r>
            <w:r>
              <w:rPr>
                <w:sz w:val="20"/>
                <w:szCs w:val="20"/>
              </w:rPr>
              <w:t xml:space="preserve"> </w:t>
            </w:r>
            <w:r>
              <w:rPr>
                <w:b/>
                <w:sz w:val="20"/>
                <w:szCs w:val="20"/>
              </w:rPr>
              <w:t>L’hôpital de district de Kiganda est réhabilité et construit selon les normes</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Cs w:val="24"/>
              </w:rPr>
            </w:pPr>
            <w:r>
              <w:rPr>
                <w:rFonts w:ascii="Arial" w:hAnsi="Arial"/>
                <w:b/>
              </w:rPr>
              <w:t>Indicateurs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 xml:space="preserve">Valeur de la </w:t>
            </w:r>
            <w:r>
              <w:rPr>
                <w:b/>
                <w:i/>
                <w:sz w:val="16"/>
              </w:rPr>
              <w:t>Baseline</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année 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finale</w:t>
            </w:r>
          </w:p>
        </w:tc>
      </w:tr>
      <w:tr w:rsidR="0055535A" w:rsidTr="0055535A">
        <w:tc>
          <w:tcPr>
            <w:tcW w:w="5503" w:type="dxa"/>
            <w:tcBorders>
              <w:top w:val="single" w:sz="4" w:space="0" w:color="auto"/>
              <w:left w:val="single" w:sz="4" w:space="0" w:color="auto"/>
              <w:bottom w:val="single" w:sz="4" w:space="0" w:color="auto"/>
              <w:right w:val="single" w:sz="4" w:space="0" w:color="auto"/>
            </w:tcBorders>
            <w:vAlign w:val="center"/>
          </w:tcPr>
          <w:p w:rsidR="0055535A" w:rsidRDefault="0055535A" w:rsidP="0055535A">
            <w:pPr>
              <w:numPr>
                <w:ilvl w:val="0"/>
                <w:numId w:val="28"/>
              </w:numPr>
              <w:rPr>
                <w:rFonts w:cs="Arial"/>
                <w:color w:val="000000"/>
                <w:sz w:val="18"/>
                <w:szCs w:val="18"/>
                <w:lang w:val="fr-BE"/>
              </w:rPr>
            </w:pPr>
            <w:r>
              <w:rPr>
                <w:rFonts w:cs="Arial"/>
                <w:color w:val="000000"/>
                <w:sz w:val="18"/>
                <w:szCs w:val="18"/>
                <w:lang w:val="fr-BE"/>
              </w:rPr>
              <w:t>construction réalisée (0)</w:t>
            </w:r>
          </w:p>
          <w:p w:rsidR="0055535A" w:rsidRDefault="0055535A">
            <w:pPr>
              <w:rPr>
                <w:rFonts w:cs="Arial"/>
                <w:color w:val="000000"/>
                <w:sz w:val="18"/>
                <w:szCs w:val="18"/>
              </w:rPr>
            </w:pP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DAO réalisé</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DAO réalisé</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r>
      <w:tr w:rsidR="0055535A" w:rsidTr="0055535A">
        <w:trPr>
          <w:trHeight w:val="709"/>
        </w:trPr>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rsidP="0055535A">
            <w:pPr>
              <w:numPr>
                <w:ilvl w:val="0"/>
                <w:numId w:val="28"/>
              </w:numPr>
              <w:rPr>
                <w:rFonts w:cs="Arial"/>
                <w:color w:val="000000"/>
                <w:sz w:val="18"/>
                <w:szCs w:val="18"/>
              </w:rPr>
            </w:pPr>
            <w:r>
              <w:rPr>
                <w:rFonts w:cs="Arial"/>
                <w:color w:val="000000"/>
                <w:sz w:val="18"/>
                <w:szCs w:val="18"/>
                <w:lang w:val="fr-BE"/>
              </w:rPr>
              <w:t>la gestion des eaux usées et des déchets est aux normes et répond aux bonnes pratiques du secteur</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Non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Non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NA</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NA</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Oui</w:t>
            </w:r>
          </w:p>
        </w:tc>
      </w:tr>
    </w:tbl>
    <w:p w:rsidR="0055535A" w:rsidRDefault="0055535A" w:rsidP="0055535A">
      <w:pPr>
        <w:pStyle w:val="Index"/>
        <w:suppressLineNumbers w:val="0"/>
        <w:rPr>
          <w:rFonts w:cs="Arial"/>
        </w:rPr>
      </w:pPr>
    </w:p>
    <w:p w:rsidR="0055535A" w:rsidRDefault="0055535A" w:rsidP="0055535A">
      <w:pPr>
        <w:pStyle w:val="Titre3"/>
        <w:numPr>
          <w:ilvl w:val="2"/>
          <w:numId w:val="16"/>
        </w:numPr>
      </w:pPr>
      <w:bookmarkStart w:id="127" w:name="_Toc475972185"/>
      <w:r>
        <w:t>État d'avancement des principales activités</w:t>
      </w:r>
      <w:bookmarkEnd w:id="127"/>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19"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16"/>
              </w:rPr>
            </w:pPr>
            <w:r>
              <w:rPr>
                <w:b/>
                <w:sz w:val="20"/>
              </w:rPr>
              <w:t xml:space="preserve">État d'avancement des </w:t>
            </w:r>
            <w:r>
              <w:rPr>
                <w:b/>
                <w:sz w:val="20"/>
                <w:u w:val="single"/>
              </w:rPr>
              <w:t xml:space="preserve">principales </w:t>
            </w:r>
            <w:r>
              <w:rPr>
                <w:b/>
                <w:sz w:val="20"/>
              </w:rPr>
              <w:t xml:space="preserve">activités </w:t>
            </w:r>
            <w:r>
              <w:rPr>
                <w:rStyle w:val="Appelnotedebasdep"/>
                <w:rFonts w:eastAsia="Arial Unicode MS"/>
              </w:rPr>
              <w:footnoteReference w:id="10"/>
            </w:r>
          </w:p>
          <w:p w:rsidR="0055535A" w:rsidRDefault="0055535A">
            <w:pPr>
              <w:pStyle w:val="Pieddepage"/>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16"/>
              </w:rPr>
            </w:pPr>
            <w:r>
              <w:rPr>
                <w:b/>
                <w:sz w:val="20"/>
              </w:rPr>
              <w:t>État d'avancement :</w:t>
            </w:r>
          </w:p>
        </w:tc>
      </w:tr>
      <w:tr w:rsidR="0055535A" w:rsidTr="0055535A">
        <w:trPr>
          <w:cantSplit/>
          <w:trHeight w:val="149"/>
        </w:trPr>
        <w:tc>
          <w:tcPr>
            <w:tcW w:w="6519"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16"/>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D</w:t>
            </w:r>
          </w:p>
        </w:tc>
      </w:tr>
      <w:tr w:rsidR="0055535A" w:rsidTr="0055535A">
        <w:trPr>
          <w:trHeight w:val="323"/>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1</w:t>
            </w:r>
            <w:r>
              <w:rPr>
                <w:rFonts w:cs="Arial"/>
                <w:kern w:val="0"/>
                <w:sz w:val="20"/>
                <w:szCs w:val="20"/>
                <w:lang w:eastAsia="fr-BE"/>
              </w:rPr>
              <w:t xml:space="preserve"> Réaliser les études selon les normes et les bonnes pratiques internationales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highlight w:val="cyan"/>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highlight w:val="cyan"/>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2</w:t>
            </w:r>
            <w:r>
              <w:rPr>
                <w:rFonts w:cs="Arial"/>
                <w:kern w:val="0"/>
                <w:sz w:val="20"/>
                <w:szCs w:val="20"/>
                <w:lang w:eastAsia="fr-BE"/>
              </w:rPr>
              <w:t xml:space="preserve"> Réaliser les travaux de réhabilitation et de construction</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sz w:val="20"/>
                <w:szCs w:val="20"/>
                <w:highlight w:val="cyan"/>
              </w:rPr>
            </w:pPr>
            <w:r>
              <w:rPr>
                <w:rFonts w:cs="Arial"/>
                <w:sz w:val="20"/>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highlight w:val="cyan"/>
              </w:rPr>
            </w:pPr>
          </w:p>
        </w:tc>
      </w:tr>
      <w:tr w:rsidR="0055535A" w:rsidTr="0055535A">
        <w:trPr>
          <w:trHeight w:val="72"/>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3</w:t>
            </w:r>
            <w:r>
              <w:rPr>
                <w:rFonts w:cs="Arial"/>
                <w:kern w:val="0"/>
                <w:sz w:val="20"/>
                <w:szCs w:val="20"/>
                <w:lang w:eastAsia="fr-BE"/>
              </w:rPr>
              <w:t xml:space="preserve"> Suivre et contrôler le chantier</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sz w:val="20"/>
                <w:szCs w:val="20"/>
                <w:highlight w:val="cyan"/>
              </w:rPr>
            </w:pPr>
            <w:r>
              <w:rPr>
                <w:rFonts w:cs="Arial"/>
                <w:sz w:val="20"/>
                <w:szCs w:val="20"/>
              </w:rPr>
              <w:t>X</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highlight w:val="cyan"/>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20"/>
                <w:szCs w:val="20"/>
              </w:rPr>
            </w:pPr>
            <w:r>
              <w:rPr>
                <w:rFonts w:cs="Arial"/>
                <w:sz w:val="20"/>
                <w:szCs w:val="20"/>
              </w:rPr>
              <w:t>4</w:t>
            </w:r>
            <w:r>
              <w:rPr>
                <w:rFonts w:cs="Arial"/>
                <w:kern w:val="0"/>
                <w:sz w:val="20"/>
                <w:szCs w:val="20"/>
                <w:lang w:eastAsia="fr-BE"/>
              </w:rPr>
              <w:t xml:space="preserve"> Fournir les équipements nécessaires selon les normes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color w:val="FF0000"/>
                <w:sz w:val="20"/>
                <w:szCs w:val="20"/>
              </w:rPr>
            </w:pPr>
            <w:r>
              <w:rPr>
                <w:rFonts w:cs="Arial"/>
                <w:sz w:val="20"/>
                <w:szCs w:val="20"/>
              </w:rPr>
              <w:t>X</w:t>
            </w: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highlight w:val="cyan"/>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20"/>
                <w:szCs w:val="20"/>
                <w:highlight w:val="cyan"/>
              </w:rPr>
            </w:pPr>
          </w:p>
        </w:tc>
      </w:tr>
    </w:tbl>
    <w:p w:rsidR="0055535A" w:rsidRDefault="0055535A" w:rsidP="0055535A">
      <w:pPr>
        <w:pStyle w:val="Index"/>
        <w:suppressLineNumbers w:val="0"/>
        <w:rPr>
          <w:rFonts w:cs="Arial"/>
          <w:sz w:val="20"/>
          <w:szCs w:val="20"/>
        </w:rPr>
      </w:pPr>
    </w:p>
    <w:p w:rsidR="0055535A" w:rsidRDefault="0055535A" w:rsidP="0055535A">
      <w:pPr>
        <w:pStyle w:val="Index"/>
        <w:suppressLineNumbers w:val="0"/>
        <w:rPr>
          <w:rFonts w:cs="Arial"/>
          <w:sz w:val="20"/>
          <w:szCs w:val="20"/>
        </w:rPr>
      </w:pPr>
    </w:p>
    <w:p w:rsidR="0055535A" w:rsidRDefault="0055535A" w:rsidP="0055535A">
      <w:pPr>
        <w:pStyle w:val="Titre3"/>
        <w:numPr>
          <w:ilvl w:val="2"/>
          <w:numId w:val="16"/>
        </w:numPr>
        <w:rPr>
          <w:sz w:val="24"/>
        </w:rPr>
      </w:pPr>
      <w:bookmarkStart w:id="128" w:name="_Toc475972186"/>
      <w:r>
        <w:t>Analyse des progrès réalisés</w:t>
      </w:r>
      <w:bookmarkEnd w:id="128"/>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4957"/>
      </w:tblGrid>
      <w:tr w:rsidR="0055535A" w:rsidTr="0055535A">
        <w:trPr>
          <w:jc w:val="center"/>
        </w:trPr>
        <w:tc>
          <w:tcPr>
            <w:tcW w:w="510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Lien entre les activités et l'output:</w:t>
            </w:r>
          </w:p>
        </w:tc>
        <w:tc>
          <w:tcPr>
            <w:tcW w:w="4957" w:type="dxa"/>
            <w:tcBorders>
              <w:top w:val="single" w:sz="4" w:space="0" w:color="auto"/>
              <w:left w:val="single" w:sz="4" w:space="0" w:color="auto"/>
              <w:bottom w:val="single" w:sz="4" w:space="0" w:color="auto"/>
              <w:right w:val="single" w:sz="4" w:space="0" w:color="auto"/>
            </w:tcBorders>
            <w:hideMark/>
          </w:tcPr>
          <w:p w:rsidR="0055535A" w:rsidRDefault="0055535A">
            <w:pPr>
              <w:widowControl/>
              <w:suppressAutoHyphens w:val="0"/>
              <w:jc w:val="both"/>
              <w:rPr>
                <w:rFonts w:cs="Arial"/>
                <w:bCs/>
                <w:sz w:val="20"/>
                <w:szCs w:val="20"/>
              </w:rPr>
            </w:pPr>
            <w:r>
              <w:rPr>
                <w:rFonts w:cs="Arial"/>
                <w:bCs/>
                <w:sz w:val="20"/>
                <w:szCs w:val="20"/>
              </w:rPr>
              <w:t>Les activités contribuent à l’output et en forment l’ossature</w:t>
            </w:r>
          </w:p>
        </w:tc>
      </w:tr>
      <w:tr w:rsidR="0055535A" w:rsidTr="0055535A">
        <w:trPr>
          <w:jc w:val="center"/>
        </w:trPr>
        <w:tc>
          <w:tcPr>
            <w:tcW w:w="510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b/>
                <w:sz w:val="20"/>
                <w:szCs w:val="20"/>
              </w:rPr>
            </w:pPr>
            <w:r>
              <w:rPr>
                <w:rFonts w:cs="Arial"/>
                <w:sz w:val="20"/>
                <w:szCs w:val="20"/>
              </w:rPr>
              <w:t>Progrès réalisés par rapport à l'atteinte de l'output (sur la base d’indicateurs) :</w:t>
            </w:r>
          </w:p>
        </w:tc>
        <w:tc>
          <w:tcPr>
            <w:tcW w:w="4957" w:type="dxa"/>
            <w:tcBorders>
              <w:top w:val="single" w:sz="4" w:space="0" w:color="auto"/>
              <w:left w:val="single" w:sz="4" w:space="0" w:color="auto"/>
              <w:bottom w:val="single" w:sz="4" w:space="0" w:color="auto"/>
              <w:right w:val="single" w:sz="4" w:space="0" w:color="auto"/>
            </w:tcBorders>
            <w:hideMark/>
          </w:tcPr>
          <w:p w:rsidR="0055535A" w:rsidRDefault="0055535A" w:rsidP="0055535A">
            <w:pPr>
              <w:pStyle w:val="Paragraphedeliste"/>
              <w:widowControl w:val="0"/>
              <w:numPr>
                <w:ilvl w:val="0"/>
                <w:numId w:val="30"/>
              </w:numPr>
              <w:suppressAutoHyphens/>
              <w:snapToGrid/>
              <w:spacing w:after="0" w:line="240" w:lineRule="auto"/>
              <w:ind w:left="360"/>
              <w:jc w:val="both"/>
              <w:rPr>
                <w:rFonts w:ascii="Arial" w:hAnsi="Arial" w:cs="Arial"/>
                <w:bCs/>
                <w:sz w:val="20"/>
                <w:szCs w:val="20"/>
              </w:rPr>
            </w:pPr>
            <w:r>
              <w:rPr>
                <w:rFonts w:ascii="Arial" w:hAnsi="Arial" w:cs="Arial"/>
                <w:bCs/>
                <w:sz w:val="20"/>
                <w:szCs w:val="20"/>
                <w:u w:val="single"/>
              </w:rPr>
              <w:t>Adduction d’eau potable pour l’Hôpital de District Kiganda (AEP) :</w:t>
            </w:r>
            <w:r>
              <w:rPr>
                <w:rFonts w:ascii="Arial" w:hAnsi="Arial" w:cs="Arial"/>
                <w:bCs/>
                <w:sz w:val="20"/>
                <w:szCs w:val="20"/>
              </w:rPr>
              <w:t xml:space="preserve"> Le marché a été attribué en Novembre 2016.</w:t>
            </w:r>
          </w:p>
          <w:p w:rsidR="0055535A" w:rsidRDefault="0055535A" w:rsidP="0055535A">
            <w:pPr>
              <w:pStyle w:val="Paragraphedeliste"/>
              <w:numPr>
                <w:ilvl w:val="0"/>
                <w:numId w:val="30"/>
              </w:numPr>
              <w:snapToGrid/>
              <w:spacing w:after="0" w:line="240" w:lineRule="auto"/>
              <w:ind w:left="360"/>
              <w:rPr>
                <w:rFonts w:ascii="Arial" w:hAnsi="Arial" w:cs="Arial"/>
                <w:bCs/>
                <w:sz w:val="20"/>
                <w:szCs w:val="20"/>
              </w:rPr>
            </w:pPr>
            <w:r>
              <w:rPr>
                <w:rFonts w:ascii="Arial" w:hAnsi="Arial" w:cs="Arial"/>
                <w:bCs/>
                <w:sz w:val="20"/>
                <w:szCs w:val="20"/>
                <w:u w:val="single"/>
              </w:rPr>
              <w:t>Délocalisation du CDS et BDS Kiganda en dehors de l’enceinte de l’Hôpital :</w:t>
            </w:r>
            <w:r>
              <w:rPr>
                <w:rFonts w:ascii="Arial" w:hAnsi="Arial" w:cs="Arial"/>
                <w:bCs/>
                <w:sz w:val="20"/>
                <w:szCs w:val="20"/>
              </w:rPr>
              <w:t xml:space="preserve"> Les études ont été réalisées et validées avec toutes les parties prenantes.</w:t>
            </w:r>
            <w:r>
              <w:rPr>
                <w:rFonts w:ascii="Arial" w:hAnsi="Arial" w:cs="Arial"/>
                <w:b/>
                <w:bCs/>
                <w:sz w:val="20"/>
                <w:szCs w:val="20"/>
              </w:rPr>
              <w:t xml:space="preserve"> </w:t>
            </w:r>
          </w:p>
          <w:p w:rsidR="0055535A" w:rsidRDefault="0055535A" w:rsidP="0055535A">
            <w:pPr>
              <w:pStyle w:val="Paragraphedeliste"/>
              <w:numPr>
                <w:ilvl w:val="0"/>
                <w:numId w:val="30"/>
              </w:numPr>
              <w:snapToGrid/>
              <w:spacing w:after="0" w:line="240" w:lineRule="auto"/>
              <w:ind w:left="360"/>
              <w:rPr>
                <w:rFonts w:ascii="Arial" w:hAnsi="Arial" w:cs="Arial"/>
                <w:bCs/>
                <w:sz w:val="20"/>
                <w:szCs w:val="20"/>
              </w:rPr>
            </w:pPr>
            <w:r>
              <w:rPr>
                <w:rFonts w:ascii="Arial" w:hAnsi="Arial" w:cs="Arial"/>
                <w:bCs/>
                <w:sz w:val="20"/>
                <w:szCs w:val="20"/>
                <w:u w:val="single"/>
              </w:rPr>
              <w:t>Réhabilitation et extension de l’hôpital :</w:t>
            </w:r>
            <w:r>
              <w:rPr>
                <w:rFonts w:ascii="Arial" w:hAnsi="Arial" w:cs="Arial"/>
                <w:bCs/>
                <w:sz w:val="20"/>
                <w:szCs w:val="20"/>
              </w:rPr>
              <w:t xml:space="preserve"> Les études ont été réalisées et validées avec toutes les parties prenantes. Le Cahier Spécial des Charges est actuellement à la disposition des entreprises sélectionnées pour la préparation des offres des travaux (procédure d’adjudication restreinte)</w:t>
            </w:r>
          </w:p>
        </w:tc>
      </w:tr>
      <w:tr w:rsidR="0055535A" w:rsidTr="0055535A">
        <w:trPr>
          <w:jc w:val="center"/>
        </w:trPr>
        <w:tc>
          <w:tcPr>
            <w:tcW w:w="510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b/>
                <w:sz w:val="20"/>
                <w:szCs w:val="20"/>
              </w:rPr>
            </w:pPr>
            <w:r>
              <w:rPr>
                <w:rFonts w:cs="Arial"/>
                <w:sz w:val="20"/>
                <w:szCs w:val="20"/>
              </w:rPr>
              <w:t>Difficultés qui se sont présentées, facteurs d'influence (positive ou négative) :</w:t>
            </w:r>
          </w:p>
        </w:tc>
        <w:tc>
          <w:tcPr>
            <w:tcW w:w="4957"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bCs/>
                <w:sz w:val="20"/>
                <w:szCs w:val="20"/>
              </w:rPr>
            </w:pPr>
            <w:r>
              <w:rPr>
                <w:rFonts w:cs="Arial"/>
                <w:bCs/>
                <w:sz w:val="20"/>
                <w:szCs w:val="20"/>
              </w:rPr>
              <w:t>L’appel d’offre de l’AEP a été lancé en Cogestion avant la crise politique et relancé en Régie. Ce qui a provoqué un retard   de 1 année dans l’attribution du marché ;</w:t>
            </w:r>
          </w:p>
          <w:p w:rsidR="0055535A" w:rsidRDefault="0055535A">
            <w:pPr>
              <w:pStyle w:val="Pieddepage"/>
              <w:keepNext/>
              <w:spacing w:before="120"/>
              <w:jc w:val="both"/>
              <w:rPr>
                <w:rFonts w:cs="Arial"/>
                <w:bCs/>
                <w:sz w:val="20"/>
                <w:szCs w:val="20"/>
              </w:rPr>
            </w:pPr>
            <w:r>
              <w:rPr>
                <w:rFonts w:cs="Arial"/>
                <w:bCs/>
                <w:sz w:val="20"/>
                <w:szCs w:val="20"/>
              </w:rPr>
              <w:t>Les travaux de l’HD vont durer au moins 18 mois, ils ne pourront donc pas être réceptionnés à la fin du délai d’exécution du Volet 5. Par ailleurs, la fourniture de certains équipements et les formations des utilisateurs ne pourront se faire tant que les bâtiments ne sont pas construits. Des mesures devront être prises au moment opportun.</w:t>
            </w:r>
          </w:p>
          <w:p w:rsidR="0055535A" w:rsidRDefault="0055535A">
            <w:pPr>
              <w:pStyle w:val="Pieddepage"/>
              <w:keepNext/>
              <w:spacing w:before="120"/>
              <w:jc w:val="both"/>
              <w:rPr>
                <w:rFonts w:cs="Arial"/>
                <w:sz w:val="20"/>
                <w:szCs w:val="20"/>
              </w:rPr>
            </w:pPr>
            <w:r>
              <w:rPr>
                <w:rFonts w:cs="Arial"/>
                <w:bCs/>
                <w:sz w:val="20"/>
                <w:szCs w:val="20"/>
              </w:rPr>
              <w:t>Une étude sur la gestion des déchets devait avoir lieu en septembre via le contrat-cadre environnement. La mission a été refusée, elle devra être réalisée localement avec le concours de la DPSHA (Direction du MSPLS en charge de l’assainissement.</w:t>
            </w:r>
          </w:p>
        </w:tc>
      </w:tr>
      <w:tr w:rsidR="0055535A" w:rsidTr="0055535A">
        <w:trPr>
          <w:jc w:val="center"/>
        </w:trPr>
        <w:tc>
          <w:tcPr>
            <w:tcW w:w="5108" w:type="dxa"/>
            <w:tcBorders>
              <w:top w:val="single" w:sz="4" w:space="0" w:color="auto"/>
              <w:left w:val="single" w:sz="4" w:space="0" w:color="auto"/>
              <w:bottom w:val="single" w:sz="4" w:space="0" w:color="auto"/>
              <w:right w:val="single" w:sz="4" w:space="0" w:color="auto"/>
            </w:tcBorders>
            <w:hideMark/>
          </w:tcPr>
          <w:p w:rsidR="0055535A" w:rsidRDefault="0055535A">
            <w:pPr>
              <w:pStyle w:val="Illustration"/>
              <w:suppressLineNumbers w:val="0"/>
              <w:spacing w:before="0" w:after="0"/>
              <w:rPr>
                <w:rFonts w:cs="Arial"/>
                <w:sz w:val="20"/>
                <w:szCs w:val="20"/>
              </w:rPr>
            </w:pPr>
            <w:r>
              <w:rPr>
                <w:rFonts w:cs="Arial"/>
                <w:sz w:val="20"/>
                <w:szCs w:val="20"/>
              </w:rPr>
              <w:t>Résultat inattendu</w:t>
            </w:r>
          </w:p>
        </w:tc>
        <w:tc>
          <w:tcPr>
            <w:tcW w:w="4957"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both"/>
              <w:rPr>
                <w:rFonts w:cs="Arial"/>
                <w:sz w:val="20"/>
                <w:szCs w:val="20"/>
              </w:rPr>
            </w:pPr>
            <w:r>
              <w:rPr>
                <w:rFonts w:cs="Arial"/>
                <w:sz w:val="20"/>
                <w:szCs w:val="20"/>
              </w:rPr>
              <w:t>La construction de l’adduction d’eau de Kiganda ne touchera pas uniquement l’hôpital mais la population des communes de Kiganda et Muramvya qui verront leur accès à l’eau potable amélioré (14 bornes fontaines installées le long du réseau)</w:t>
            </w:r>
          </w:p>
        </w:tc>
      </w:tr>
    </w:tbl>
    <w:p w:rsidR="0055535A" w:rsidRDefault="0055535A" w:rsidP="0055535A">
      <w:pPr>
        <w:widowControl/>
        <w:suppressAutoHyphens w:val="0"/>
        <w:jc w:val="both"/>
        <w:rPr>
          <w:rFonts w:cs="Arial"/>
          <w:bCs/>
          <w:sz w:val="20"/>
          <w:szCs w:val="20"/>
        </w:rPr>
      </w:pPr>
    </w:p>
    <w:p w:rsidR="0055535A" w:rsidRDefault="0055535A" w:rsidP="0055535A">
      <w:pPr>
        <w:widowControl/>
        <w:suppressAutoHyphens w:val="0"/>
        <w:jc w:val="both"/>
        <w:rPr>
          <w:rFonts w:eastAsia="Arial Unicode MS" w:cs="Arial"/>
          <w:b/>
          <w:color w:val="50B848"/>
          <w:kern w:val="28"/>
          <w:sz w:val="20"/>
          <w:szCs w:val="20"/>
        </w:rPr>
      </w:pPr>
      <w:r>
        <w:rPr>
          <w:rFonts w:cs="Arial"/>
          <w:bCs/>
          <w:snapToGrid w:val="0"/>
          <w:sz w:val="20"/>
          <w:szCs w:val="20"/>
        </w:rPr>
        <w:br w:type="page"/>
      </w:r>
    </w:p>
    <w:p w:rsidR="0055535A" w:rsidRDefault="0055535A" w:rsidP="0055535A">
      <w:pPr>
        <w:pStyle w:val="Titre2"/>
        <w:numPr>
          <w:ilvl w:val="1"/>
          <w:numId w:val="16"/>
        </w:numPr>
        <w:tabs>
          <w:tab w:val="clear" w:pos="3978"/>
          <w:tab w:val="num" w:pos="576"/>
        </w:tabs>
        <w:ind w:left="576"/>
        <w:rPr>
          <w:rFonts w:cs="Arial"/>
          <w:sz w:val="28"/>
        </w:rPr>
      </w:pPr>
      <w:bookmarkStart w:id="129" w:name="_Toc475972187"/>
      <w:r>
        <w:rPr>
          <w:rFonts w:cs="Arial"/>
        </w:rPr>
        <w:t>Volet 5 : performance de l'output 5</w:t>
      </w:r>
      <w:bookmarkEnd w:id="129"/>
      <w:r>
        <w:rPr>
          <w:rFonts w:cs="Arial"/>
        </w:rPr>
        <w:t xml:space="preserve"> </w:t>
      </w:r>
    </w:p>
    <w:p w:rsidR="0055535A" w:rsidRDefault="0055535A" w:rsidP="0055535A">
      <w:pPr>
        <w:pStyle w:val="Titre3"/>
        <w:numPr>
          <w:ilvl w:val="2"/>
          <w:numId w:val="16"/>
        </w:numPr>
        <w:rPr>
          <w:rFonts w:eastAsia="Times New Roman" w:cs="Arial"/>
        </w:rPr>
      </w:pPr>
      <w:bookmarkStart w:id="130" w:name="_Toc475972188"/>
      <w:r>
        <w:t>Progrès des indicateurs</w:t>
      </w:r>
      <w:bookmarkEnd w:id="130"/>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3"/>
        <w:gridCol w:w="875"/>
        <w:gridCol w:w="850"/>
        <w:gridCol w:w="851"/>
        <w:gridCol w:w="850"/>
        <w:gridCol w:w="851"/>
      </w:tblGrid>
      <w:tr w:rsidR="0055535A" w:rsidTr="0055535A">
        <w:trPr>
          <w:cantSplit/>
        </w:trPr>
        <w:tc>
          <w:tcPr>
            <w:tcW w:w="9780" w:type="dxa"/>
            <w:gridSpan w:val="6"/>
            <w:tcBorders>
              <w:top w:val="single" w:sz="4" w:space="0" w:color="auto"/>
              <w:left w:val="single" w:sz="4" w:space="0" w:color="auto"/>
              <w:bottom w:val="single" w:sz="4" w:space="0" w:color="auto"/>
              <w:right w:val="single" w:sz="4" w:space="0" w:color="auto"/>
            </w:tcBorders>
            <w:hideMark/>
          </w:tcPr>
          <w:p w:rsidR="0055535A" w:rsidRDefault="0055535A">
            <w:pPr>
              <w:rPr>
                <w:rFonts w:cs="Arial"/>
                <w:b/>
                <w:bCs/>
                <w:sz w:val="20"/>
                <w:szCs w:val="20"/>
              </w:rPr>
            </w:pPr>
            <w:r>
              <w:rPr>
                <w:b/>
                <w:sz w:val="20"/>
                <w:szCs w:val="20"/>
              </w:rPr>
              <w:t>Output 5 :</w:t>
            </w:r>
            <w:r>
              <w:rPr>
                <w:sz w:val="20"/>
                <w:szCs w:val="20"/>
              </w:rPr>
              <w:t xml:space="preserve"> </w:t>
            </w:r>
            <w:r>
              <w:rPr>
                <w:b/>
                <w:sz w:val="20"/>
                <w:szCs w:val="20"/>
              </w:rPr>
              <w:t>Le MSPLS est construit en accordance avec son plan directeur</w:t>
            </w:r>
          </w:p>
        </w:tc>
      </w:tr>
      <w:tr w:rsidR="0055535A" w:rsidTr="0055535A">
        <w:trPr>
          <w:trHeight w:val="586"/>
        </w:trPr>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Cs w:val="24"/>
              </w:rPr>
            </w:pPr>
            <w:r>
              <w:rPr>
                <w:rFonts w:ascii="Arial" w:hAnsi="Arial"/>
                <w:b/>
              </w:rPr>
              <w:t>Indicateurs</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 xml:space="preserve">Valeur de la </w:t>
            </w:r>
            <w:r>
              <w:rPr>
                <w:b/>
                <w:i/>
                <w:sz w:val="16"/>
              </w:rPr>
              <w:t>Baseline</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N-1</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année N</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finale</w:t>
            </w:r>
          </w:p>
        </w:tc>
      </w:tr>
      <w:tr w:rsidR="0055535A" w:rsidTr="0055535A">
        <w:trPr>
          <w:trHeight w:val="410"/>
        </w:trPr>
        <w:tc>
          <w:tcPr>
            <w:tcW w:w="5503"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kern w:val="0"/>
                <w:sz w:val="16"/>
                <w:szCs w:val="16"/>
                <w:lang w:eastAsia="fr-BE"/>
              </w:rPr>
              <w:t>Construction réalisée  (0)</w:t>
            </w:r>
          </w:p>
        </w:tc>
        <w:tc>
          <w:tcPr>
            <w:tcW w:w="8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NA</w:t>
            </w: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w:t>
            </w:r>
          </w:p>
        </w:tc>
      </w:tr>
    </w:tbl>
    <w:p w:rsidR="0055535A" w:rsidRDefault="0055535A" w:rsidP="0055535A">
      <w:pPr>
        <w:pStyle w:val="Index"/>
        <w:suppressLineNumbers w:val="0"/>
        <w:rPr>
          <w:rFonts w:cs="Arial"/>
        </w:rPr>
      </w:pPr>
    </w:p>
    <w:p w:rsidR="0055535A" w:rsidRDefault="0055535A" w:rsidP="0055535A">
      <w:pPr>
        <w:pStyle w:val="Titre3"/>
        <w:numPr>
          <w:ilvl w:val="2"/>
          <w:numId w:val="16"/>
        </w:numPr>
      </w:pPr>
      <w:bookmarkStart w:id="131" w:name="_Toc475972189"/>
      <w:r>
        <w:t>État d'avancement des principales activités</w:t>
      </w:r>
      <w:bookmarkEnd w:id="131"/>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19"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16"/>
              </w:rPr>
            </w:pPr>
            <w:r>
              <w:rPr>
                <w:b/>
                <w:sz w:val="20"/>
              </w:rPr>
              <w:t xml:space="preserve">État d'avancement des </w:t>
            </w:r>
            <w:r>
              <w:rPr>
                <w:b/>
                <w:sz w:val="20"/>
                <w:u w:val="single"/>
              </w:rPr>
              <w:t xml:space="preserve">principales </w:t>
            </w:r>
            <w:r>
              <w:rPr>
                <w:b/>
                <w:sz w:val="20"/>
              </w:rPr>
              <w:t xml:space="preserve">activités </w:t>
            </w:r>
            <w:r>
              <w:rPr>
                <w:rStyle w:val="Appelnotedebasdep"/>
                <w:rFonts w:eastAsia="Arial Unicode MS"/>
              </w:rPr>
              <w:footnoteReference w:id="11"/>
            </w:r>
          </w:p>
          <w:p w:rsidR="0055535A" w:rsidRDefault="0055535A">
            <w:pPr>
              <w:pStyle w:val="Pieddepage"/>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16"/>
              </w:rPr>
            </w:pPr>
            <w:r>
              <w:rPr>
                <w:b/>
                <w:sz w:val="20"/>
              </w:rPr>
              <w:t>État d'avancement :</w:t>
            </w:r>
          </w:p>
        </w:tc>
      </w:tr>
      <w:tr w:rsidR="0055535A" w:rsidTr="0055535A">
        <w:trPr>
          <w:cantSplit/>
          <w:trHeight w:val="149"/>
        </w:trPr>
        <w:tc>
          <w:tcPr>
            <w:tcW w:w="6519"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16"/>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D</w:t>
            </w:r>
          </w:p>
        </w:tc>
      </w:tr>
      <w:tr w:rsidR="0055535A" w:rsidTr="0055535A">
        <w:trPr>
          <w:trHeight w:val="323"/>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1</w:t>
            </w:r>
            <w:r>
              <w:rPr>
                <w:rFonts w:cs="Arial"/>
                <w:kern w:val="0"/>
                <w:sz w:val="16"/>
                <w:szCs w:val="16"/>
                <w:lang w:eastAsia="fr-BE"/>
              </w:rPr>
              <w:t xml:space="preserve"> Réaliser le plan directeur du MSPLS. SUSPENDU</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2</w:t>
            </w:r>
            <w:r>
              <w:rPr>
                <w:rFonts w:cs="Arial"/>
                <w:kern w:val="0"/>
                <w:sz w:val="16"/>
                <w:szCs w:val="16"/>
                <w:lang w:eastAsia="fr-BE"/>
              </w:rPr>
              <w:t xml:space="preserve"> Réaliser les études de  conception architecturales et techniques. SUSPENDU</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72"/>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3</w:t>
            </w:r>
            <w:r>
              <w:rPr>
                <w:rFonts w:cs="Arial"/>
                <w:kern w:val="0"/>
                <w:sz w:val="16"/>
                <w:szCs w:val="16"/>
                <w:lang w:eastAsia="fr-BE"/>
              </w:rPr>
              <w:t xml:space="preserve"> Réaliser les travaux de construction. SUSPENDU</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6"/>
                <w:szCs w:val="16"/>
              </w:rPr>
            </w:pPr>
            <w:r>
              <w:rPr>
                <w:rFonts w:cs="Arial"/>
                <w:sz w:val="16"/>
                <w:szCs w:val="16"/>
              </w:rPr>
              <w:t>4</w:t>
            </w:r>
            <w:r>
              <w:rPr>
                <w:rFonts w:cs="Arial"/>
                <w:kern w:val="0"/>
                <w:sz w:val="16"/>
                <w:szCs w:val="16"/>
                <w:lang w:eastAsia="fr-BE"/>
              </w:rPr>
              <w:t xml:space="preserve"> Suivre et contrôler le chantier de construction. SUSPENDU</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bl>
    <w:p w:rsidR="0055535A" w:rsidRDefault="0055535A" w:rsidP="0055535A">
      <w:pPr>
        <w:pStyle w:val="Index"/>
        <w:suppressLineNumbers w:val="0"/>
        <w:rPr>
          <w:rFonts w:cs="Arial"/>
          <w:sz w:val="20"/>
          <w:szCs w:val="20"/>
        </w:rPr>
      </w:pPr>
    </w:p>
    <w:p w:rsidR="0055535A" w:rsidRDefault="0055535A" w:rsidP="0055535A">
      <w:pPr>
        <w:pStyle w:val="Index"/>
        <w:suppressLineNumbers w:val="0"/>
        <w:rPr>
          <w:rFonts w:cs="Arial"/>
          <w:sz w:val="20"/>
          <w:szCs w:val="20"/>
        </w:rPr>
      </w:pPr>
    </w:p>
    <w:p w:rsidR="0055535A" w:rsidRDefault="0055535A" w:rsidP="0055535A">
      <w:pPr>
        <w:pStyle w:val="Titre3"/>
        <w:numPr>
          <w:ilvl w:val="2"/>
          <w:numId w:val="16"/>
        </w:numPr>
        <w:rPr>
          <w:sz w:val="24"/>
        </w:rPr>
      </w:pPr>
      <w:bookmarkStart w:id="132" w:name="_Toc475972190"/>
      <w:r>
        <w:t>Analyse des progrès réalisés</w:t>
      </w:r>
      <w:bookmarkEnd w:id="132"/>
    </w:p>
    <w:p w:rsidR="0055535A" w:rsidRDefault="0055535A" w:rsidP="0055535A">
      <w:pPr>
        <w:pStyle w:val="Lgende"/>
        <w:rPr>
          <w:rStyle w:val="Titre2Car"/>
          <w:rFonts w:cs="Arial"/>
          <w:bCs w:val="0"/>
          <w:i w:val="0"/>
          <w:sz w:val="20"/>
          <w:szCs w:val="20"/>
        </w:rPr>
      </w:pPr>
      <w:r>
        <w:rPr>
          <w:rFonts w:cs="Arial"/>
          <w:i w:val="0"/>
          <w:sz w:val="20"/>
          <w:szCs w:val="20"/>
        </w:rPr>
        <w:t>Le résultat complet a été suspendu suite à la situation politique actuelle, seul le plan directeur a été réalisé.</w:t>
      </w:r>
    </w:p>
    <w:p w:rsidR="0055535A" w:rsidRDefault="0055535A" w:rsidP="0055535A">
      <w:pPr>
        <w:pStyle w:val="Index"/>
        <w:suppressLineNumbers w:val="0"/>
        <w:rPr>
          <w:bCs/>
        </w:rPr>
      </w:pPr>
    </w:p>
    <w:p w:rsidR="0055535A" w:rsidRDefault="0055535A" w:rsidP="0055535A">
      <w:pPr>
        <w:pStyle w:val="Titre2"/>
        <w:pageBreakBefore/>
        <w:numPr>
          <w:ilvl w:val="1"/>
          <w:numId w:val="24"/>
        </w:numPr>
        <w:tabs>
          <w:tab w:val="clear" w:pos="3978"/>
          <w:tab w:val="num" w:pos="576"/>
        </w:tabs>
        <w:ind w:left="576"/>
        <w:rPr>
          <w:sz w:val="28"/>
        </w:rPr>
      </w:pPr>
      <w:bookmarkStart w:id="133" w:name="_Toc475972191"/>
      <w:r>
        <w:t>Volet PC : performance de l'output 1</w:t>
      </w:r>
      <w:bookmarkEnd w:id="133"/>
      <w:r>
        <w:t xml:space="preserve"> </w:t>
      </w:r>
    </w:p>
    <w:p w:rsidR="0055535A" w:rsidRDefault="0055535A" w:rsidP="0055535A">
      <w:pPr>
        <w:rPr>
          <w:sz w:val="20"/>
          <w:szCs w:val="20"/>
        </w:rPr>
      </w:pPr>
      <w:r>
        <w:rPr>
          <w:sz w:val="20"/>
          <w:szCs w:val="20"/>
        </w:rPr>
        <w:t>La baseline du PAISS-PC correspond à celle du PAISS volets 1-2-3.</w:t>
      </w:r>
    </w:p>
    <w:p w:rsidR="0055535A" w:rsidRDefault="0055535A" w:rsidP="0055535A">
      <w:pPr>
        <w:rPr>
          <w:sz w:val="20"/>
        </w:rPr>
      </w:pPr>
    </w:p>
    <w:p w:rsidR="0055535A" w:rsidRDefault="0055535A" w:rsidP="0055535A">
      <w:pPr>
        <w:rPr>
          <w:sz w:val="20"/>
        </w:rPr>
      </w:pPr>
    </w:p>
    <w:p w:rsidR="0055535A" w:rsidRDefault="0055535A" w:rsidP="0055535A">
      <w:pPr>
        <w:rPr>
          <w:sz w:val="20"/>
        </w:rPr>
      </w:pPr>
      <w:r>
        <w:rPr>
          <w:rFonts w:cs="Arial"/>
          <w:i/>
          <w:noProof/>
          <w:sz w:val="20"/>
          <w:szCs w:val="20"/>
          <w:lang w:val="fr-BE" w:eastAsia="fr-BE"/>
        </w:rPr>
        <w:drawing>
          <wp:inline distT="0" distB="0" distL="0" distR="0">
            <wp:extent cx="4718050" cy="504825"/>
            <wp:effectExtent l="0" t="0" r="635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18050" cy="504825"/>
                    </a:xfrm>
                    <a:prstGeom prst="rect">
                      <a:avLst/>
                    </a:prstGeom>
                    <a:noFill/>
                    <a:ln>
                      <a:noFill/>
                    </a:ln>
                  </pic:spPr>
                </pic:pic>
              </a:graphicData>
            </a:graphic>
          </wp:inline>
        </w:drawing>
      </w:r>
    </w:p>
    <w:p w:rsidR="0055535A" w:rsidRDefault="0055535A" w:rsidP="0055535A">
      <w:pPr>
        <w:pStyle w:val="Titre3"/>
        <w:numPr>
          <w:ilvl w:val="2"/>
          <w:numId w:val="16"/>
        </w:numPr>
        <w:rPr>
          <w:sz w:val="24"/>
        </w:rPr>
      </w:pPr>
      <w:bookmarkStart w:id="134" w:name="_Toc475972192"/>
      <w:r>
        <w:t>Progrès des indicateurs</w:t>
      </w:r>
      <w:bookmarkEnd w:id="134"/>
    </w:p>
    <w:tbl>
      <w:tblPr>
        <w:tblW w:w="9780"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3"/>
        <w:gridCol w:w="1418"/>
        <w:gridCol w:w="1275"/>
        <w:gridCol w:w="1276"/>
        <w:gridCol w:w="1418"/>
      </w:tblGrid>
      <w:tr w:rsidR="0055535A" w:rsidTr="0055535A">
        <w:tc>
          <w:tcPr>
            <w:tcW w:w="9782" w:type="dxa"/>
            <w:gridSpan w:val="5"/>
            <w:tcBorders>
              <w:top w:val="single" w:sz="4" w:space="0" w:color="auto"/>
              <w:left w:val="single" w:sz="4" w:space="0" w:color="auto"/>
              <w:bottom w:val="single" w:sz="4" w:space="0" w:color="auto"/>
              <w:right w:val="single" w:sz="4" w:space="0" w:color="auto"/>
            </w:tcBorders>
            <w:vAlign w:val="center"/>
            <w:hideMark/>
          </w:tcPr>
          <w:p w:rsidR="0055535A" w:rsidRDefault="0055535A">
            <w:pPr>
              <w:rPr>
                <w:b/>
                <w:sz w:val="16"/>
              </w:rPr>
            </w:pPr>
            <w:r>
              <w:rPr>
                <w:sz w:val="20"/>
                <w:szCs w:val="20"/>
              </w:rPr>
              <w:t>Output 1 : Les réformes institutionnelles sont appuyées à travers le développement des politiques et stratégies sectorielles</w:t>
            </w:r>
          </w:p>
        </w:tc>
      </w:tr>
      <w:tr w:rsidR="0055535A" w:rsidTr="0055535A">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rFonts w:cs="Tahoma"/>
                <w:b/>
                <w:sz w:val="16"/>
                <w:szCs w:val="16"/>
              </w:rPr>
              <w:t>Indicateurs</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 xml:space="preserve">Valeur de la </w:t>
            </w:r>
            <w:r>
              <w:rPr>
                <w:b/>
                <w:i/>
                <w:sz w:val="16"/>
              </w:rPr>
              <w:t>Baseline</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rFonts w:cs="Arial"/>
                <w:b/>
                <w:bCs/>
                <w:sz w:val="16"/>
              </w:rPr>
              <w:t>Valeur année N-1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finale</w:t>
            </w:r>
          </w:p>
        </w:tc>
      </w:tr>
      <w:tr w:rsidR="0055535A" w:rsidTr="0055535A">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Taux de réalisation des réunions du CPSD</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10/11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color w:val="000000"/>
                <w:kern w:val="0"/>
                <w:sz w:val="20"/>
                <w:szCs w:val="20"/>
                <w:lang w:val="nl-BE" w:eastAsia="nl-BE"/>
              </w:rPr>
              <w:t> 4/11</w:t>
            </w:r>
          </w:p>
        </w:tc>
        <w:tc>
          <w:tcPr>
            <w:tcW w:w="1276" w:type="dxa"/>
            <w:tcBorders>
              <w:top w:val="single" w:sz="4" w:space="0" w:color="auto"/>
              <w:left w:val="nil"/>
              <w:bottom w:val="single" w:sz="4" w:space="0" w:color="auto"/>
              <w:right w:val="nil"/>
            </w:tcBorders>
            <w:vAlign w:val="bottom"/>
            <w:hideMark/>
          </w:tcPr>
          <w:p w:rsidR="0055535A" w:rsidRDefault="0055535A">
            <w:pPr>
              <w:jc w:val="center"/>
              <w:rPr>
                <w:rFonts w:cs="Arial"/>
                <w:sz w:val="18"/>
                <w:szCs w:val="18"/>
              </w:rPr>
            </w:pPr>
            <w:r>
              <w:rPr>
                <w:rFonts w:cs="Arial"/>
                <w:sz w:val="18"/>
                <w:szCs w:val="18"/>
              </w:rPr>
              <w:t>2/11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12/12</w:t>
            </w:r>
          </w:p>
        </w:tc>
      </w:tr>
      <w:tr w:rsidR="0055535A" w:rsidTr="0055535A">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Taux de réalisation des réunions des Groupes Thématiques</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22%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color w:val="000000"/>
                <w:kern w:val="0"/>
                <w:sz w:val="20"/>
                <w:szCs w:val="20"/>
                <w:lang w:eastAsia="nl-BE"/>
              </w:rPr>
              <w:t> &lt;30%</w:t>
            </w:r>
          </w:p>
        </w:tc>
        <w:tc>
          <w:tcPr>
            <w:tcW w:w="1276" w:type="dxa"/>
            <w:tcBorders>
              <w:top w:val="single" w:sz="4" w:space="0" w:color="auto"/>
              <w:left w:val="nil"/>
              <w:bottom w:val="single" w:sz="4" w:space="0" w:color="auto"/>
              <w:right w:val="nil"/>
            </w:tcBorders>
            <w:vAlign w:val="bottom"/>
            <w:hideMark/>
          </w:tcPr>
          <w:p w:rsidR="0055535A" w:rsidRDefault="0055535A">
            <w:pPr>
              <w:jc w:val="center"/>
              <w:rPr>
                <w:rFonts w:cs="Arial"/>
                <w:sz w:val="18"/>
                <w:szCs w:val="18"/>
              </w:rPr>
            </w:pPr>
            <w:r>
              <w:rPr>
                <w:rFonts w:cs="Arial"/>
                <w:sz w:val="18"/>
                <w:szCs w:val="18"/>
              </w:rPr>
              <w:t>ND</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&gt;80%</w:t>
            </w:r>
          </w:p>
        </w:tc>
      </w:tr>
      <w:tr w:rsidR="0055535A" w:rsidTr="0055535A">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Les travaux de construction au niveau central sont réalisés selon un plan directeur établi et approuvé</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b/>
                <w:bCs/>
                <w:sz w:val="18"/>
                <w:szCs w:val="18"/>
              </w:rPr>
            </w:pPr>
            <w:r>
              <w:rPr>
                <w:rFonts w:ascii="Calibri" w:hAnsi="Calibri"/>
                <w:color w:val="000000"/>
                <w:kern w:val="0"/>
                <w:sz w:val="20"/>
                <w:szCs w:val="20"/>
                <w:lang w:val="nl-BE" w:eastAsia="nl-BE"/>
              </w:rPr>
              <w:t>Suspendu </w:t>
            </w:r>
          </w:p>
        </w:tc>
        <w:tc>
          <w:tcPr>
            <w:tcW w:w="1276" w:type="dxa"/>
            <w:tcBorders>
              <w:top w:val="single" w:sz="4" w:space="0" w:color="auto"/>
              <w:left w:val="nil"/>
              <w:bottom w:val="single" w:sz="4" w:space="0" w:color="auto"/>
              <w:right w:val="nil"/>
            </w:tcBorders>
            <w:vAlign w:val="center"/>
            <w:hideMark/>
          </w:tcPr>
          <w:p w:rsidR="0055535A" w:rsidRDefault="0055535A">
            <w:pPr>
              <w:rPr>
                <w:rFonts w:cs="Arial"/>
                <w:sz w:val="18"/>
                <w:szCs w:val="18"/>
              </w:rPr>
            </w:pPr>
            <w:r>
              <w:rPr>
                <w:rFonts w:cs="Arial"/>
                <w:sz w:val="18"/>
                <w:szCs w:val="18"/>
              </w:rPr>
              <w:t>Suspendu</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réalisé</w:t>
            </w:r>
          </w:p>
        </w:tc>
      </w:tr>
      <w:tr w:rsidR="0055535A" w:rsidTr="0055535A">
        <w:trPr>
          <w:trHeight w:val="680"/>
        </w:trPr>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Proportion de DS qui disposent d'un plan de développement sanitaire validé</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0/45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color w:val="000000"/>
                <w:kern w:val="0"/>
                <w:sz w:val="20"/>
                <w:szCs w:val="20"/>
                <w:lang w:eastAsia="nl-BE"/>
              </w:rPr>
              <w:t>0/45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8"/>
                <w:szCs w:val="18"/>
              </w:rPr>
            </w:pPr>
            <w:r>
              <w:rPr>
                <w:rFonts w:cs="Arial"/>
                <w:sz w:val="18"/>
                <w:szCs w:val="18"/>
              </w:rPr>
              <w:t>0/46*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45/45*</w:t>
            </w:r>
          </w:p>
        </w:tc>
      </w:tr>
      <w:tr w:rsidR="0055535A" w:rsidTr="0055535A">
        <w:trPr>
          <w:trHeight w:val="680"/>
        </w:trPr>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Proportion de DS qui disposent d'un plan annuel validé au 4ème trimestre de l'année</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0% (0/45)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color w:val="000000"/>
                <w:kern w:val="0"/>
                <w:sz w:val="20"/>
                <w:szCs w:val="20"/>
                <w:lang w:val="nl-BE" w:eastAsia="nl-BE"/>
              </w:rPr>
              <w:t> &gt;90%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18"/>
                <w:szCs w:val="18"/>
              </w:rPr>
            </w:pPr>
            <w:r>
              <w:rPr>
                <w:rFonts w:cs="Arial"/>
                <w:color w:val="000000"/>
                <w:sz w:val="18"/>
                <w:szCs w:val="18"/>
              </w:rPr>
              <w:t>46/46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&gt;90%</w:t>
            </w:r>
          </w:p>
        </w:tc>
      </w:tr>
      <w:tr w:rsidR="0055535A" w:rsidTr="0055535A">
        <w:trPr>
          <w:trHeight w:val="680"/>
        </w:trPr>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Proportion des ECD en formation en APP</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6/45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color w:val="000000"/>
                <w:kern w:val="0"/>
                <w:sz w:val="20"/>
                <w:szCs w:val="20"/>
                <w:lang w:val="nl-BE" w:eastAsia="nl-BE"/>
              </w:rPr>
              <w:t> 15/45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8"/>
                <w:szCs w:val="18"/>
              </w:rPr>
            </w:pPr>
            <w:r>
              <w:rPr>
                <w:rFonts w:cs="Arial"/>
                <w:sz w:val="18"/>
                <w:szCs w:val="18"/>
              </w:rPr>
              <w:t>5/46*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45/45*</w:t>
            </w:r>
          </w:p>
        </w:tc>
      </w:tr>
      <w:tr w:rsidR="0055535A" w:rsidTr="0055535A">
        <w:trPr>
          <w:trHeight w:val="680"/>
        </w:trPr>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Proportion des DS qui pratiquent la chirurgie de district selon la stratégie nationale</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color w:val="000000"/>
                <w:kern w:val="0"/>
                <w:sz w:val="20"/>
                <w:szCs w:val="20"/>
                <w:lang w:eastAsia="nl-BE"/>
              </w:rPr>
              <w:t>La Commission n’a pas été mis en place</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color w:val="000000"/>
                <w:sz w:val="18"/>
                <w:szCs w:val="18"/>
              </w:rPr>
            </w:pPr>
            <w:r>
              <w:rPr>
                <w:rFonts w:cs="Arial"/>
                <w:b/>
                <w:color w:val="000000"/>
                <w:sz w:val="18"/>
                <w:szCs w:val="1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à définir</w:t>
            </w:r>
          </w:p>
        </w:tc>
      </w:tr>
      <w:tr w:rsidR="0055535A" w:rsidTr="0055535A">
        <w:trPr>
          <w:trHeight w:val="680"/>
        </w:trPr>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Proportion des CDS qui utilisent les SPT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1,70% (9/528)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color w:val="000000"/>
                <w:kern w:val="0"/>
                <w:sz w:val="20"/>
                <w:szCs w:val="20"/>
                <w:lang w:val="nl-BE" w:eastAsia="nl-BE"/>
              </w:rPr>
              <w:t>&lt;50%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sz w:val="18"/>
                <w:szCs w:val="18"/>
              </w:rPr>
            </w:pPr>
            <w:r>
              <w:rPr>
                <w:rFonts w:cs="Arial"/>
                <w:sz w:val="18"/>
                <w:szCs w:val="18"/>
              </w:rPr>
              <w:t>ND</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&gt;90%</w:t>
            </w:r>
          </w:p>
        </w:tc>
      </w:tr>
      <w:tr w:rsidR="0055535A" w:rsidTr="0055535A">
        <w:trPr>
          <w:trHeight w:val="680"/>
        </w:trPr>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La moyenne de la performance FBP des Unités de Prestation du MSPLS</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color w:val="000000"/>
                <w:kern w:val="0"/>
                <w:sz w:val="20"/>
                <w:szCs w:val="20"/>
                <w:lang w:val="nl-BE" w:eastAsia="nl-BE"/>
              </w:rPr>
              <w:t> Suspendu</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18"/>
                <w:szCs w:val="18"/>
              </w:rPr>
            </w:pPr>
            <w:r>
              <w:rPr>
                <w:rFonts w:cs="Arial"/>
                <w:color w:val="000000"/>
                <w:sz w:val="18"/>
                <w:szCs w:val="18"/>
              </w:rPr>
              <w:t>Suspendu</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&gt; résultat 2014</w:t>
            </w:r>
          </w:p>
        </w:tc>
      </w:tr>
      <w:tr w:rsidR="0055535A" w:rsidTr="0055535A">
        <w:trPr>
          <w:trHeight w:val="680"/>
        </w:trPr>
        <w:tc>
          <w:tcPr>
            <w:tcW w:w="439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18"/>
                <w:szCs w:val="18"/>
              </w:rPr>
            </w:pPr>
            <w:r>
              <w:rPr>
                <w:rFonts w:cs="Arial"/>
                <w:color w:val="000000"/>
                <w:sz w:val="18"/>
                <w:szCs w:val="18"/>
              </w:rPr>
              <w:t>Proportion de la population couverte par une assurance maladie ou un mécanisme de solidarité</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30,3%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color w:val="000000"/>
                <w:kern w:val="0"/>
                <w:sz w:val="20"/>
                <w:szCs w:val="20"/>
                <w:lang w:val="nl-BE" w:eastAsia="nl-BE"/>
              </w:rPr>
              <w:t>Données non disponibles pour 2015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18"/>
                <w:szCs w:val="18"/>
              </w:rPr>
            </w:pPr>
            <w:r>
              <w:rPr>
                <w:rFonts w:cs="Arial"/>
                <w:color w:val="000000"/>
                <w:sz w:val="18"/>
                <w:szCs w:val="18"/>
              </w:rPr>
              <w:t>ND</w:t>
            </w:r>
          </w:p>
        </w:tc>
        <w:tc>
          <w:tcPr>
            <w:tcW w:w="141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&gt; résultat 2014</w:t>
            </w:r>
          </w:p>
        </w:tc>
      </w:tr>
    </w:tbl>
    <w:p w:rsidR="0055535A" w:rsidRDefault="0055535A" w:rsidP="0055535A">
      <w:r>
        <w:t>*</w:t>
      </w:r>
      <w:r>
        <w:rPr>
          <w:sz w:val="16"/>
          <w:szCs w:val="16"/>
        </w:rPr>
        <w:t xml:space="preserve"> Faute d’appui des partenaires, au DS (il en existe 46 à présent) n’a été en mesure d’élaborer son plan de développement</w:t>
      </w:r>
      <w:r>
        <w:t xml:space="preserve"> </w:t>
      </w:r>
    </w:p>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Pr>
        <w:pStyle w:val="Titre3"/>
        <w:numPr>
          <w:ilvl w:val="2"/>
          <w:numId w:val="16"/>
        </w:numPr>
      </w:pPr>
      <w:bookmarkStart w:id="135" w:name="_Toc475972193"/>
      <w:r>
        <w:t>État d'avancement des principales activités</w:t>
      </w:r>
      <w:bookmarkEnd w:id="135"/>
    </w:p>
    <w:p w:rsidR="0055535A" w:rsidRDefault="0055535A" w:rsidP="0055535A"/>
    <w:tbl>
      <w:tblPr>
        <w:tblpPr w:leftFromText="141" w:rightFromText="141" w:vertAnchor="text" w:horzAnchor="margin" w:tblpXSpec="center" w:tblpY="110"/>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4"/>
        <w:gridCol w:w="850"/>
        <w:gridCol w:w="852"/>
        <w:gridCol w:w="851"/>
        <w:gridCol w:w="993"/>
      </w:tblGrid>
      <w:tr w:rsidR="0055535A" w:rsidTr="0055535A">
        <w:trPr>
          <w:cantSplit/>
          <w:trHeight w:val="365"/>
        </w:trPr>
        <w:tc>
          <w:tcPr>
            <w:tcW w:w="6380"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16"/>
              </w:rPr>
            </w:pPr>
            <w:r>
              <w:rPr>
                <w:b/>
                <w:sz w:val="20"/>
              </w:rPr>
              <w:t xml:space="preserve">État d'avancement des </w:t>
            </w:r>
            <w:r>
              <w:rPr>
                <w:b/>
                <w:sz w:val="20"/>
                <w:u w:val="single"/>
              </w:rPr>
              <w:t xml:space="preserve">principales </w:t>
            </w:r>
            <w:r>
              <w:rPr>
                <w:b/>
                <w:sz w:val="20"/>
              </w:rPr>
              <w:t xml:space="preserve">activités </w:t>
            </w:r>
            <w:r>
              <w:rPr>
                <w:rStyle w:val="Appelnotedebasdep"/>
                <w:rFonts w:eastAsia="Arial Unicode MS"/>
              </w:rPr>
              <w:footnoteReference w:id="12"/>
            </w:r>
          </w:p>
          <w:p w:rsidR="0055535A" w:rsidRDefault="0055535A">
            <w:pPr>
              <w:pStyle w:val="Pieddepage"/>
              <w:keepNext/>
              <w:spacing w:before="120"/>
              <w:rPr>
                <w:rFonts w:cs="Arial"/>
                <w:i/>
                <w:iCs/>
                <w:sz w:val="20"/>
                <w:szCs w:val="16"/>
              </w:rPr>
            </w:pPr>
          </w:p>
        </w:tc>
        <w:tc>
          <w:tcPr>
            <w:tcW w:w="3543"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16"/>
              </w:rPr>
            </w:pPr>
            <w:r>
              <w:rPr>
                <w:b/>
                <w:sz w:val="20"/>
              </w:rPr>
              <w:t>État d'avancement :</w:t>
            </w:r>
          </w:p>
        </w:tc>
      </w:tr>
      <w:tr w:rsidR="0055535A" w:rsidTr="0055535A">
        <w:trPr>
          <w:cantSplit/>
          <w:trHeight w:val="149"/>
        </w:trPr>
        <w:tc>
          <w:tcPr>
            <w:tcW w:w="6380"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16"/>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A</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B</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C</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D</w:t>
            </w:r>
          </w:p>
        </w:tc>
      </w:tr>
      <w:tr w:rsidR="0055535A" w:rsidTr="0055535A">
        <w:trPr>
          <w:trHeight w:val="567"/>
        </w:trPr>
        <w:tc>
          <w:tcPr>
            <w:tcW w:w="6380" w:type="dxa"/>
            <w:tcBorders>
              <w:top w:val="single" w:sz="4" w:space="0" w:color="auto"/>
              <w:left w:val="single" w:sz="8" w:space="0" w:color="auto"/>
              <w:bottom w:val="single" w:sz="4" w:space="0" w:color="auto"/>
              <w:right w:val="single" w:sz="4" w:space="0" w:color="auto"/>
            </w:tcBorders>
            <w:hideMark/>
          </w:tcPr>
          <w:p w:rsidR="0055535A" w:rsidRDefault="0055535A">
            <w:pPr>
              <w:pStyle w:val="Pieddepage"/>
              <w:keepNext/>
              <w:spacing w:before="120"/>
              <w:ind w:left="176" w:hanging="176"/>
              <w:rPr>
                <w:rFonts w:cs="Arial"/>
                <w:sz w:val="16"/>
                <w:szCs w:val="16"/>
              </w:rPr>
            </w:pPr>
            <w:r>
              <w:rPr>
                <w:rFonts w:cs="Arial"/>
                <w:sz w:val="20"/>
                <w:szCs w:val="20"/>
              </w:rPr>
              <w:t xml:space="preserve">       01 Consolidation des stratégies nationales de renforcement des ECD et ECP</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6"/>
                <w:szCs w:val="16"/>
              </w:rPr>
            </w:pPr>
            <w:r>
              <w:rPr>
                <w:rFonts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567"/>
        </w:trPr>
        <w:tc>
          <w:tcPr>
            <w:tcW w:w="6380" w:type="dxa"/>
            <w:tcBorders>
              <w:top w:val="nil"/>
              <w:left w:val="single" w:sz="8" w:space="0" w:color="auto"/>
              <w:bottom w:val="single" w:sz="4" w:space="0" w:color="auto"/>
              <w:right w:val="single" w:sz="4" w:space="0" w:color="auto"/>
            </w:tcBorders>
            <w:hideMark/>
          </w:tcPr>
          <w:p w:rsidR="0055535A" w:rsidRDefault="0055535A">
            <w:pPr>
              <w:pStyle w:val="Pieddepage"/>
              <w:keepNext/>
              <w:spacing w:before="120"/>
              <w:ind w:left="176" w:hanging="176"/>
              <w:rPr>
                <w:rFonts w:cs="Arial"/>
                <w:sz w:val="16"/>
                <w:szCs w:val="16"/>
              </w:rPr>
            </w:pPr>
            <w:r>
              <w:rPr>
                <w:rFonts w:cs="Arial"/>
                <w:sz w:val="20"/>
                <w:szCs w:val="20"/>
              </w:rPr>
              <w:t xml:space="preserve">       02 Appui à l'élaboration de la nouvelle politique de santé et du PNDS III </w:t>
            </w:r>
            <w:r>
              <w:rPr>
                <w:rFonts w:cs="Arial"/>
                <w:b/>
                <w:sz w:val="20"/>
                <w:szCs w:val="20"/>
              </w:rPr>
              <w:t>(SUSPENDU)</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567"/>
        </w:trPr>
        <w:tc>
          <w:tcPr>
            <w:tcW w:w="6380" w:type="dxa"/>
            <w:tcBorders>
              <w:top w:val="nil"/>
              <w:left w:val="single" w:sz="8" w:space="0" w:color="auto"/>
              <w:bottom w:val="single" w:sz="4" w:space="0" w:color="auto"/>
              <w:right w:val="single" w:sz="4" w:space="0" w:color="auto"/>
            </w:tcBorders>
            <w:hideMark/>
          </w:tcPr>
          <w:p w:rsidR="0055535A" w:rsidRDefault="0055535A">
            <w:pPr>
              <w:pStyle w:val="Pieddepage"/>
              <w:keepNext/>
              <w:spacing w:before="120"/>
              <w:ind w:left="176" w:hanging="176"/>
              <w:rPr>
                <w:rFonts w:cs="Arial"/>
                <w:sz w:val="16"/>
                <w:szCs w:val="16"/>
              </w:rPr>
            </w:pPr>
            <w:r>
              <w:rPr>
                <w:rFonts w:cs="Arial"/>
                <w:sz w:val="20"/>
                <w:szCs w:val="20"/>
              </w:rPr>
              <w:t xml:space="preserve">       03 Appui à la stratégie nationale de financement du secteur de la santé (</w:t>
            </w:r>
            <w:r>
              <w:rPr>
                <w:rFonts w:cs="Arial"/>
                <w:b/>
                <w:sz w:val="20"/>
                <w:szCs w:val="20"/>
              </w:rPr>
              <w:t>SUSPENDU)</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567"/>
        </w:trPr>
        <w:tc>
          <w:tcPr>
            <w:tcW w:w="6380" w:type="dxa"/>
            <w:tcBorders>
              <w:top w:val="nil"/>
              <w:left w:val="single" w:sz="8" w:space="0" w:color="auto"/>
              <w:bottom w:val="single" w:sz="4" w:space="0" w:color="auto"/>
              <w:right w:val="single" w:sz="4" w:space="0" w:color="auto"/>
            </w:tcBorders>
            <w:hideMark/>
          </w:tcPr>
          <w:p w:rsidR="0055535A" w:rsidRDefault="0055535A">
            <w:pPr>
              <w:pStyle w:val="Pieddepage"/>
              <w:keepNext/>
              <w:spacing w:before="120"/>
              <w:ind w:left="176" w:hanging="176"/>
              <w:rPr>
                <w:rFonts w:cs="Arial"/>
                <w:sz w:val="16"/>
                <w:szCs w:val="16"/>
              </w:rPr>
            </w:pPr>
            <w:r>
              <w:rPr>
                <w:rFonts w:cs="Arial"/>
                <w:sz w:val="20"/>
                <w:szCs w:val="20"/>
              </w:rPr>
              <w:t xml:space="preserve">       04 Consolidation du  FBP développé au niveau central (</w:t>
            </w:r>
            <w:r>
              <w:rPr>
                <w:rFonts w:cs="Arial"/>
                <w:b/>
                <w:sz w:val="20"/>
                <w:szCs w:val="20"/>
              </w:rPr>
              <w:t>SUSPENDU)</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r w:rsidR="0055535A" w:rsidTr="0055535A">
        <w:trPr>
          <w:trHeight w:val="567"/>
        </w:trPr>
        <w:tc>
          <w:tcPr>
            <w:tcW w:w="6380" w:type="dxa"/>
            <w:tcBorders>
              <w:top w:val="nil"/>
              <w:left w:val="single" w:sz="8" w:space="0" w:color="auto"/>
              <w:bottom w:val="single" w:sz="4" w:space="0" w:color="auto"/>
              <w:right w:val="single" w:sz="4" w:space="0" w:color="auto"/>
            </w:tcBorders>
            <w:hideMark/>
          </w:tcPr>
          <w:p w:rsidR="0055535A" w:rsidRDefault="0055535A">
            <w:pPr>
              <w:pStyle w:val="Pieddepage"/>
              <w:keepNext/>
              <w:spacing w:before="120"/>
              <w:ind w:left="176" w:hanging="176"/>
              <w:rPr>
                <w:rFonts w:cs="Arial"/>
                <w:sz w:val="16"/>
                <w:szCs w:val="16"/>
              </w:rPr>
            </w:pPr>
            <w:r>
              <w:rPr>
                <w:rFonts w:cs="Arial"/>
                <w:sz w:val="20"/>
                <w:szCs w:val="20"/>
              </w:rPr>
              <w:t xml:space="preserve">       05 Consolidation des stratégies nationales développées d'amélioration continue de la qualité des soins</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6"/>
                <w:szCs w:val="16"/>
              </w:rPr>
            </w:pPr>
            <w:r>
              <w:rPr>
                <w:rFonts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6"/>
                <w:szCs w:val="16"/>
              </w:rPr>
            </w:pPr>
          </w:p>
        </w:tc>
      </w:tr>
    </w:tbl>
    <w:p w:rsidR="0055535A" w:rsidRDefault="0055535A" w:rsidP="0055535A">
      <w:pPr>
        <w:pStyle w:val="Index"/>
        <w:suppressLineNumbers w:val="0"/>
        <w:rPr>
          <w:rFonts w:cs="Arial"/>
          <w:sz w:val="20"/>
          <w:szCs w:val="20"/>
        </w:rPr>
      </w:pPr>
    </w:p>
    <w:p w:rsidR="0055535A" w:rsidRDefault="0055535A" w:rsidP="0055535A">
      <w:pPr>
        <w:pStyle w:val="Titre3"/>
        <w:numPr>
          <w:ilvl w:val="2"/>
          <w:numId w:val="31"/>
        </w:numPr>
        <w:rPr>
          <w:sz w:val="24"/>
        </w:rPr>
      </w:pPr>
      <w:bookmarkStart w:id="136" w:name="_Toc475972194"/>
      <w:bookmarkStart w:id="137" w:name="_Toc411938811"/>
      <w:bookmarkStart w:id="138" w:name="_Toc370814282"/>
      <w:bookmarkStart w:id="139" w:name="_Toc370814206"/>
      <w:r>
        <w:t>Analyse des progrès réalisés</w:t>
      </w:r>
      <w:bookmarkEnd w:id="136"/>
      <w:bookmarkEnd w:id="137"/>
      <w:bookmarkEnd w:id="138"/>
      <w:bookmarkEnd w:id="139"/>
    </w:p>
    <w:p w:rsidR="0055535A" w:rsidRDefault="0055535A" w:rsidP="0055535A">
      <w:pPr>
        <w:jc w:val="both"/>
        <w:rPr>
          <w:sz w:val="20"/>
          <w:szCs w:val="20"/>
        </w:rPr>
      </w:pPr>
      <w:r>
        <w:rPr>
          <w:sz w:val="20"/>
          <w:szCs w:val="20"/>
        </w:rPr>
        <w:t>En 2016, la plupart des indicateurs ont chuté significativement à cause de la suspension des appuis qui devaient venir du niveau central.</w:t>
      </w:r>
    </w:p>
    <w:p w:rsidR="0055535A" w:rsidRDefault="0055535A" w:rsidP="0055535A">
      <w:pPr>
        <w:jc w:val="both"/>
        <w:rPr>
          <w:sz w:val="20"/>
          <w:szCs w:val="20"/>
        </w:rPr>
      </w:pPr>
      <w:r>
        <w:rPr>
          <w:sz w:val="20"/>
          <w:szCs w:val="20"/>
        </w:rPr>
        <w:t>Les stratégies capitales qui ont été identifiées et formulées dans l’intervention antérieure du PAISS (volets 1 à 3) n’ont donc pas été mises en œuvre. C’est le cas de la stratégie de la chirurgie de district et de la stratégie de financement global de la santé.</w:t>
      </w:r>
    </w:p>
    <w:p w:rsidR="0055535A" w:rsidRDefault="0055535A" w:rsidP="0055535A">
      <w:pPr>
        <w:jc w:val="both"/>
        <w:rPr>
          <w:sz w:val="20"/>
          <w:szCs w:val="20"/>
        </w:rPr>
      </w:pPr>
      <w:r>
        <w:rPr>
          <w:sz w:val="20"/>
          <w:szCs w:val="20"/>
        </w:rPr>
        <w:t>La stratégie de financement basé sur la performance du niveau central qui était très attendue a été gelée.</w:t>
      </w:r>
    </w:p>
    <w:p w:rsidR="0055535A" w:rsidRDefault="0055535A" w:rsidP="0055535A">
      <w:pPr>
        <w:jc w:val="both"/>
        <w:rPr>
          <w:sz w:val="20"/>
          <w:szCs w:val="20"/>
        </w:rPr>
      </w:pPr>
      <w:r>
        <w:rPr>
          <w:sz w:val="20"/>
          <w:szCs w:val="20"/>
        </w:rPr>
        <w:t>D’autres activités ont connu des exécutions timides, c’est le cas de la formation des équipes cadre des districts par l’approche APP. C’est aussi le cas du cofinancement et de l’appui technique sur l’élaboration de la nouvelle politique nationale de la santé (PNS). La PNS a été élaborée mais n’a pas été suivie de l’élaboration de son outil d’opérationnalisation qui est le plan de développement sanitaire  En lieu et place, le Ministère a pris l’option d’étendre le PNDSII sur les deux années suivantes à savoir sur 2017 et 2018.</w:t>
      </w:r>
    </w:p>
    <w:p w:rsidR="0055535A" w:rsidRDefault="0055535A" w:rsidP="0055535A">
      <w:pPr>
        <w:jc w:val="both"/>
        <w:rPr>
          <w:sz w:val="20"/>
          <w:szCs w:val="20"/>
          <w:highlight w:val="yellow"/>
        </w:rPr>
      </w:pPr>
    </w:p>
    <w:p w:rsidR="0055535A" w:rsidRDefault="0055535A" w:rsidP="0055535A">
      <w:pPr>
        <w:pStyle w:val="Titre2"/>
        <w:pageBreakBefore/>
        <w:numPr>
          <w:ilvl w:val="1"/>
          <w:numId w:val="16"/>
        </w:numPr>
        <w:tabs>
          <w:tab w:val="clear" w:pos="3978"/>
          <w:tab w:val="num" w:pos="576"/>
        </w:tabs>
        <w:ind w:left="578" w:hanging="578"/>
        <w:rPr>
          <w:bCs w:val="0"/>
          <w:sz w:val="28"/>
        </w:rPr>
      </w:pPr>
      <w:bookmarkStart w:id="140" w:name="_Toc475972195"/>
      <w:r>
        <w:rPr>
          <w:bCs w:val="0"/>
        </w:rPr>
        <w:t>Volet PC : performance de l'output 2</w:t>
      </w:r>
      <w:bookmarkEnd w:id="140"/>
      <w:r>
        <w:rPr>
          <w:bCs w:val="0"/>
        </w:rPr>
        <w:t xml:space="preserve"> </w:t>
      </w:r>
    </w:p>
    <w:p w:rsidR="0055535A" w:rsidRDefault="0055535A" w:rsidP="0055535A">
      <w:pPr>
        <w:pStyle w:val="Titre3"/>
        <w:numPr>
          <w:ilvl w:val="2"/>
          <w:numId w:val="16"/>
        </w:numPr>
        <w:rPr>
          <w:rFonts w:eastAsia="Times New Roman" w:cs="Arial"/>
        </w:rPr>
      </w:pPr>
      <w:bookmarkStart w:id="141" w:name="_Toc475972196"/>
      <w:bookmarkStart w:id="142" w:name="_Toc411938829"/>
      <w:r>
        <w:t>Progrès des indicateurs</w:t>
      </w:r>
      <w:bookmarkEnd w:id="141"/>
      <w:bookmarkEnd w:id="142"/>
    </w:p>
    <w:tbl>
      <w:tblPr>
        <w:tblW w:w="981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5"/>
        <w:gridCol w:w="1187"/>
        <w:gridCol w:w="1134"/>
        <w:gridCol w:w="992"/>
        <w:gridCol w:w="992"/>
      </w:tblGrid>
      <w:tr w:rsidR="0055535A" w:rsidTr="0055535A">
        <w:tc>
          <w:tcPr>
            <w:tcW w:w="9810" w:type="dxa"/>
            <w:gridSpan w:val="5"/>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b/>
                <w:sz w:val="20"/>
                <w:szCs w:val="20"/>
              </w:rPr>
            </w:pPr>
            <w:r>
              <w:rPr>
                <w:rFonts w:cs="Arial"/>
                <w:sz w:val="20"/>
                <w:szCs w:val="20"/>
              </w:rPr>
              <w:t>Output 2 : Le système de santé de district et la qualité des services sont renforcés.</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Ballontekst1"/>
              <w:jc w:val="center"/>
              <w:rPr>
                <w:rFonts w:ascii="Arial" w:hAnsi="Arial" w:cs="Arial"/>
                <w:b/>
                <w:bCs/>
                <w:sz w:val="20"/>
                <w:szCs w:val="20"/>
              </w:rPr>
            </w:pPr>
            <w:r>
              <w:rPr>
                <w:rFonts w:ascii="Arial" w:hAnsi="Arial" w:cs="Arial"/>
                <w:b/>
                <w:sz w:val="20"/>
                <w:szCs w:val="20"/>
              </w:rPr>
              <w:t>Indicateurs</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sz w:val="20"/>
                <w:szCs w:val="20"/>
              </w:rPr>
              <w:t xml:space="preserve">Valeur de la </w:t>
            </w:r>
            <w:r>
              <w:rPr>
                <w:rFonts w:cs="Arial"/>
                <w:b/>
                <w:i/>
                <w:sz w:val="20"/>
                <w:szCs w:val="20"/>
              </w:rPr>
              <w:t>Baseline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sz w:val="20"/>
                <w:szCs w:val="20"/>
              </w:rPr>
              <w:t>Valeur année N-1</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sz w:val="20"/>
                <w:szCs w:val="20"/>
              </w:rPr>
              <w:t>Valeur année N</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20"/>
                <w:szCs w:val="20"/>
              </w:rPr>
            </w:pPr>
            <w:r>
              <w:rPr>
                <w:rFonts w:cs="Arial"/>
                <w:b/>
                <w:sz w:val="20"/>
                <w:szCs w:val="20"/>
              </w:rPr>
              <w:t>Cible finale</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Taux de réalisation des supervisions des BDS par les BPS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color w:val="000000"/>
                <w:kern w:val="0"/>
                <w:sz w:val="20"/>
                <w:szCs w:val="20"/>
                <w:lang w:val="nl-BE" w:eastAsia="nl-BE"/>
              </w:rPr>
              <w:t>98%</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bCs/>
                <w:color w:val="000000"/>
                <w:sz w:val="20"/>
                <w:szCs w:val="20"/>
              </w:rPr>
            </w:pPr>
            <w:r>
              <w:rPr>
                <w:rFonts w:cs="Arial"/>
                <w:color w:val="000000"/>
                <w:sz w:val="20"/>
                <w:szCs w:val="20"/>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95%</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Proportion de BPS qui disposent d'un plan annuel validé au 4ème trimestre  de l'année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color w:val="000000"/>
                <w:kern w:val="0"/>
                <w:sz w:val="20"/>
                <w:szCs w:val="20"/>
                <w:lang w:val="nl-BE" w:eastAsia="nl-BE"/>
              </w:rPr>
              <w:t>100%</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bCs/>
                <w:color w:val="000000"/>
                <w:sz w:val="20"/>
                <w:szCs w:val="20"/>
              </w:rPr>
            </w:pPr>
            <w:r>
              <w:rPr>
                <w:rFonts w:cs="Arial"/>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100%</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Taux de réalisation des réunions CPSD provinciales</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color w:val="000000"/>
                <w:kern w:val="0"/>
                <w:sz w:val="20"/>
                <w:szCs w:val="20"/>
                <w:lang w:val="nl-BE" w:eastAsia="nl-BE"/>
              </w:rPr>
              <w:t>100%</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bCs/>
                <w:color w:val="000000"/>
                <w:sz w:val="20"/>
                <w:szCs w:val="20"/>
              </w:rPr>
            </w:pPr>
            <w:r>
              <w:rPr>
                <w:rFonts w:cs="Arial"/>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75%</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Proportion de DS qui disposent d'un plan annuel  validé au 4ème trimestre  de l'année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100%</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75%</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Proportion de DS qui réalisent 80% des supervisions des centres de santé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83%</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85%</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90%</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Nombre de DS ayant 3 médecins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67%</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90%</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Proportion de réalisation des formations continues intégrant les programmes verticaux des plans annuels des districts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100%</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50%</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Taux de césariennes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2,23%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3%</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3%</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Nombre d'interventions de chirurgie majeures réalisées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969</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1529</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125</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Nombre de jours de ruptures stocks dans les 90 jours précédents le contrôle de  6 produits traceurs: quinine injectable, ampicilline injectable, oxytocine,  soluté, poches de sang, anesthésique</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122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&lt;15</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60</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Nombre de rapports comptables établis et transmis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100%</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75%</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Proportion de CDS qui utilisent les SPT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5,70%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100%</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93%</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75%</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Taux d'utilisation de la PF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31%</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28%</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Proportion des patients référé par les CdS parmi les hospitalisés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32%</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35%</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Nombre de patients référés en urgence par ambulance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1287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1787</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1002</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2500</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Proportion de comités de santé qui tiennent au moins 80% des réunions avec PV</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76%</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90%</w:t>
            </w:r>
          </w:p>
        </w:tc>
      </w:tr>
      <w:tr w:rsidR="0055535A" w:rsidTr="0055535A">
        <w:tc>
          <w:tcPr>
            <w:tcW w:w="5505"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color w:val="000000"/>
                <w:sz w:val="20"/>
                <w:szCs w:val="20"/>
              </w:rPr>
            </w:pPr>
            <w:r>
              <w:rPr>
                <w:rFonts w:cs="Arial"/>
                <w:color w:val="000000"/>
                <w:sz w:val="20"/>
                <w:szCs w:val="20"/>
              </w:rPr>
              <w:t>Proportion de la population couverte par une assurance maladie (CAM, mutuelles) (Kirundo et Muramvya)</w:t>
            </w:r>
          </w:p>
        </w:tc>
        <w:tc>
          <w:tcPr>
            <w:tcW w:w="118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Cs/>
                <w:color w:val="000000"/>
                <w:sz w:val="20"/>
                <w:szCs w:val="20"/>
              </w:rPr>
            </w:pPr>
            <w:r>
              <w:rPr>
                <w:rFonts w:cs="Arial"/>
                <w:bCs/>
                <w:color w:val="000000"/>
                <w:sz w:val="20"/>
                <w:szCs w:val="20"/>
              </w:rPr>
              <w:t>3,40%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kern w:val="0"/>
                <w:sz w:val="20"/>
                <w:szCs w:val="20"/>
                <w:lang w:val="nl-BE" w:eastAsia="nl-BE"/>
              </w:rPr>
            </w:pPr>
            <w:r>
              <w:rPr>
                <w:rFonts w:cs="Arial"/>
                <w:color w:val="000000"/>
                <w:kern w:val="0"/>
                <w:sz w:val="20"/>
                <w:szCs w:val="20"/>
                <w:lang w:val="nl-BE" w:eastAsia="nl-BE"/>
              </w:rPr>
              <w:t>60%</w:t>
            </w:r>
          </w:p>
        </w:tc>
        <w:tc>
          <w:tcPr>
            <w:tcW w:w="992" w:type="dxa"/>
            <w:tcBorders>
              <w:top w:val="single" w:sz="4" w:space="0" w:color="auto"/>
              <w:left w:val="nil"/>
              <w:bottom w:val="single" w:sz="4" w:space="0" w:color="auto"/>
              <w:right w:val="nil"/>
            </w:tcBorders>
            <w:vAlign w:val="center"/>
            <w:hideMark/>
          </w:tcPr>
          <w:p w:rsidR="0055535A" w:rsidRDefault="0055535A">
            <w:pPr>
              <w:jc w:val="center"/>
              <w:rPr>
                <w:rFonts w:cs="Arial"/>
                <w:color w:val="000000"/>
                <w:sz w:val="20"/>
                <w:szCs w:val="20"/>
              </w:rPr>
            </w:pPr>
            <w:r>
              <w:rPr>
                <w:rFonts w:cs="Arial"/>
                <w:color w:val="000000"/>
                <w:sz w:val="20"/>
                <w:szCs w:val="20"/>
              </w:rPr>
              <w:t>78%</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color w:val="000000"/>
                <w:sz w:val="20"/>
                <w:szCs w:val="20"/>
              </w:rPr>
            </w:pPr>
            <w:r>
              <w:rPr>
                <w:rFonts w:cs="Arial"/>
                <w:color w:val="000000"/>
                <w:sz w:val="20"/>
                <w:szCs w:val="20"/>
              </w:rPr>
              <w:t>12%</w:t>
            </w:r>
          </w:p>
        </w:tc>
      </w:tr>
    </w:tbl>
    <w:p w:rsidR="0055535A" w:rsidRDefault="0055535A" w:rsidP="0055535A">
      <w:pPr>
        <w:pStyle w:val="Index"/>
        <w:suppressLineNumbers w:val="0"/>
        <w:rPr>
          <w:rFonts w:cs="Arial"/>
          <w:sz w:val="20"/>
          <w:szCs w:val="20"/>
          <w:highlight w:val="yellow"/>
        </w:rPr>
      </w:pPr>
      <w:r>
        <w:rPr>
          <w:rFonts w:cs="Arial"/>
          <w:sz w:val="20"/>
          <w:szCs w:val="20"/>
          <w:highlight w:val="yellow"/>
        </w:rPr>
        <w:t xml:space="preserve">  </w:t>
      </w:r>
    </w:p>
    <w:p w:rsidR="0055535A" w:rsidRDefault="0055535A" w:rsidP="0055535A">
      <w:pPr>
        <w:pStyle w:val="Index"/>
        <w:suppressLineNumbers w:val="0"/>
        <w:rPr>
          <w:rFonts w:cs="Arial"/>
          <w:sz w:val="20"/>
          <w:szCs w:val="20"/>
          <w:highlight w:val="yellow"/>
        </w:rPr>
      </w:pPr>
    </w:p>
    <w:p w:rsidR="0055535A" w:rsidRDefault="0055535A" w:rsidP="0055535A">
      <w:pPr>
        <w:pStyle w:val="Index"/>
        <w:suppressLineNumbers w:val="0"/>
        <w:rPr>
          <w:rFonts w:cs="Arial"/>
          <w:sz w:val="20"/>
          <w:szCs w:val="20"/>
          <w:highlight w:val="yellow"/>
        </w:rPr>
      </w:pPr>
    </w:p>
    <w:p w:rsidR="0055535A" w:rsidRDefault="0055535A" w:rsidP="0055535A">
      <w:pPr>
        <w:pStyle w:val="Index"/>
        <w:suppressLineNumbers w:val="0"/>
        <w:rPr>
          <w:rFonts w:cs="Arial"/>
          <w:sz w:val="20"/>
          <w:szCs w:val="20"/>
          <w:highlight w:val="yellow"/>
        </w:rPr>
      </w:pPr>
    </w:p>
    <w:p w:rsidR="0055535A" w:rsidRDefault="0055535A" w:rsidP="0055535A">
      <w:pPr>
        <w:pStyle w:val="Index"/>
        <w:suppressLineNumbers w:val="0"/>
        <w:rPr>
          <w:rFonts w:cs="Arial"/>
          <w:sz w:val="20"/>
          <w:szCs w:val="20"/>
          <w:highlight w:val="yellow"/>
        </w:rPr>
      </w:pPr>
    </w:p>
    <w:p w:rsidR="0055535A" w:rsidRDefault="0055535A" w:rsidP="0055535A">
      <w:pPr>
        <w:pStyle w:val="Index"/>
        <w:suppressLineNumbers w:val="0"/>
        <w:rPr>
          <w:rFonts w:cs="Arial"/>
          <w:highlight w:val="cyan"/>
        </w:rPr>
      </w:pPr>
    </w:p>
    <w:p w:rsidR="00622ABB" w:rsidRDefault="00622ABB" w:rsidP="0055535A">
      <w:pPr>
        <w:pStyle w:val="Index"/>
        <w:suppressLineNumbers w:val="0"/>
        <w:rPr>
          <w:rFonts w:cs="Arial"/>
          <w:highlight w:val="cyan"/>
        </w:rPr>
      </w:pPr>
    </w:p>
    <w:p w:rsidR="00622ABB" w:rsidRDefault="00622ABB" w:rsidP="0055535A">
      <w:pPr>
        <w:pStyle w:val="Index"/>
        <w:suppressLineNumbers w:val="0"/>
        <w:rPr>
          <w:rFonts w:cs="Arial"/>
          <w:highlight w:val="cyan"/>
        </w:rPr>
      </w:pPr>
    </w:p>
    <w:p w:rsidR="0055535A" w:rsidRDefault="0055535A" w:rsidP="0055535A">
      <w:pPr>
        <w:pStyle w:val="Titre3"/>
        <w:numPr>
          <w:ilvl w:val="2"/>
          <w:numId w:val="16"/>
        </w:numPr>
      </w:pPr>
      <w:bookmarkStart w:id="143" w:name="_Toc475972197"/>
      <w:bookmarkStart w:id="144" w:name="_Toc411938830"/>
      <w:bookmarkStart w:id="145" w:name="_Toc380572181"/>
      <w:r>
        <w:t>État d'avancement des principales activités</w:t>
      </w:r>
      <w:bookmarkEnd w:id="143"/>
      <w:bookmarkEnd w:id="144"/>
      <w:bookmarkEnd w:id="145"/>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21"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20"/>
                <w:szCs w:val="16"/>
              </w:rPr>
            </w:pPr>
            <w:r>
              <w:rPr>
                <w:b/>
                <w:sz w:val="20"/>
              </w:rPr>
              <w:t xml:space="preserve">État d'avancement des </w:t>
            </w:r>
            <w:r>
              <w:rPr>
                <w:b/>
                <w:sz w:val="20"/>
                <w:u w:val="single"/>
              </w:rPr>
              <w:t xml:space="preserve">principales </w:t>
            </w:r>
            <w:r>
              <w:rPr>
                <w:b/>
                <w:sz w:val="20"/>
              </w:rPr>
              <w:t xml:space="preserve">activités </w:t>
            </w:r>
            <w:r>
              <w:rPr>
                <w:rStyle w:val="Appelnotedebasdep"/>
                <w:rFonts w:eastAsia="Arial Unicode MS"/>
              </w:rPr>
              <w:footnoteReference w:id="13"/>
            </w:r>
          </w:p>
          <w:p w:rsidR="0055535A" w:rsidRDefault="0055535A">
            <w:pPr>
              <w:pStyle w:val="Pieddepage"/>
              <w:keepNext/>
              <w:spacing w:before="120"/>
              <w:rPr>
                <w:rFonts w:cs="Arial"/>
                <w:i/>
                <w:iCs/>
                <w:sz w:val="20"/>
                <w:szCs w:val="16"/>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20"/>
                <w:szCs w:val="16"/>
              </w:rPr>
            </w:pPr>
            <w:r>
              <w:rPr>
                <w:b/>
                <w:sz w:val="20"/>
              </w:rPr>
              <w:t>État d'avancement :</w:t>
            </w:r>
          </w:p>
        </w:tc>
      </w:tr>
      <w:tr w:rsidR="0055535A" w:rsidTr="0055535A">
        <w:trPr>
          <w:cantSplit/>
          <w:trHeight w:val="149"/>
        </w:trPr>
        <w:tc>
          <w:tcPr>
            <w:tcW w:w="6521"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20"/>
                <w:szCs w:val="16"/>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20"/>
                <w:szCs w:val="16"/>
              </w:rPr>
            </w:pPr>
            <w:r>
              <w:rPr>
                <w:sz w:val="20"/>
              </w:rPr>
              <w:t>D</w:t>
            </w:r>
          </w:p>
        </w:tc>
      </w:tr>
      <w:tr w:rsidR="0055535A" w:rsidTr="0055535A">
        <w:trPr>
          <w:trHeight w:val="323"/>
        </w:trPr>
        <w:tc>
          <w:tcPr>
            <w:tcW w:w="6521" w:type="dxa"/>
            <w:tcBorders>
              <w:top w:val="single" w:sz="4" w:space="0" w:color="auto"/>
              <w:left w:val="single" w:sz="8" w:space="0" w:color="auto"/>
              <w:bottom w:val="single" w:sz="4" w:space="0" w:color="auto"/>
              <w:right w:val="single" w:sz="4" w:space="0" w:color="auto"/>
            </w:tcBorders>
            <w:hideMark/>
          </w:tcPr>
          <w:p w:rsidR="0055535A" w:rsidRDefault="0055535A">
            <w:pPr>
              <w:rPr>
                <w:rFonts w:cs="Arial"/>
                <w:sz w:val="18"/>
                <w:szCs w:val="18"/>
              </w:rPr>
            </w:pPr>
            <w:r>
              <w:rPr>
                <w:rFonts w:cs="Arial"/>
                <w:sz w:val="20"/>
                <w:szCs w:val="20"/>
              </w:rPr>
              <w:t xml:space="preserve">       01 Appui aux ECD et ECP dans leurs fonctions suivant stratégies nationales</w:t>
            </w:r>
          </w:p>
        </w:tc>
        <w:tc>
          <w:tcPr>
            <w:tcW w:w="85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16"/>
                <w:szCs w:val="16"/>
              </w:rPr>
            </w:pPr>
            <w:r>
              <w:rPr>
                <w:rFonts w:cs="Arial"/>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r>
      <w:tr w:rsidR="0055535A" w:rsidTr="0055535A">
        <w:trPr>
          <w:trHeight w:val="310"/>
        </w:trPr>
        <w:tc>
          <w:tcPr>
            <w:tcW w:w="6521" w:type="dxa"/>
            <w:tcBorders>
              <w:top w:val="nil"/>
              <w:left w:val="single" w:sz="8" w:space="0" w:color="auto"/>
              <w:bottom w:val="single" w:sz="4" w:space="0" w:color="auto"/>
              <w:right w:val="single" w:sz="4" w:space="0" w:color="auto"/>
            </w:tcBorders>
            <w:hideMark/>
          </w:tcPr>
          <w:p w:rsidR="0055535A" w:rsidRDefault="0055535A">
            <w:pPr>
              <w:rPr>
                <w:rFonts w:cs="Arial"/>
                <w:sz w:val="18"/>
                <w:szCs w:val="18"/>
              </w:rPr>
            </w:pPr>
            <w:r>
              <w:rPr>
                <w:rFonts w:cs="Arial"/>
                <w:sz w:val="20"/>
                <w:szCs w:val="20"/>
              </w:rPr>
              <w:t xml:space="preserve">       02 Consolidation du fonctionnement du système de référence et contre-référence</w:t>
            </w: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r>
      <w:tr w:rsidR="0055535A" w:rsidTr="0055535A">
        <w:trPr>
          <w:trHeight w:val="310"/>
        </w:trPr>
        <w:tc>
          <w:tcPr>
            <w:tcW w:w="6521" w:type="dxa"/>
            <w:tcBorders>
              <w:top w:val="nil"/>
              <w:left w:val="single" w:sz="8" w:space="0" w:color="auto"/>
              <w:bottom w:val="single" w:sz="4" w:space="0" w:color="auto"/>
              <w:right w:val="single" w:sz="4" w:space="0" w:color="auto"/>
            </w:tcBorders>
            <w:hideMark/>
          </w:tcPr>
          <w:p w:rsidR="0055535A" w:rsidRDefault="0055535A">
            <w:pPr>
              <w:rPr>
                <w:rFonts w:cs="Arial"/>
                <w:sz w:val="18"/>
                <w:szCs w:val="18"/>
              </w:rPr>
            </w:pPr>
            <w:r>
              <w:rPr>
                <w:rFonts w:cs="Arial"/>
                <w:sz w:val="20"/>
                <w:szCs w:val="20"/>
              </w:rPr>
              <w:t xml:space="preserve">       03 Consolidation de la participation communautaire dans le domaine de la santé dans les districts</w:t>
            </w: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r>
      <w:tr w:rsidR="0055535A" w:rsidTr="0055535A">
        <w:trPr>
          <w:trHeight w:val="310"/>
        </w:trPr>
        <w:tc>
          <w:tcPr>
            <w:tcW w:w="6521" w:type="dxa"/>
            <w:tcBorders>
              <w:top w:val="nil"/>
              <w:left w:val="single" w:sz="8" w:space="0" w:color="auto"/>
              <w:bottom w:val="single" w:sz="4" w:space="0" w:color="auto"/>
              <w:right w:val="single" w:sz="4" w:space="0" w:color="auto"/>
            </w:tcBorders>
            <w:hideMark/>
          </w:tcPr>
          <w:p w:rsidR="0055535A" w:rsidRDefault="0055535A">
            <w:pPr>
              <w:rPr>
                <w:rFonts w:cs="Arial"/>
                <w:sz w:val="18"/>
                <w:szCs w:val="18"/>
              </w:rPr>
            </w:pPr>
            <w:r>
              <w:rPr>
                <w:rFonts w:cs="Arial"/>
                <w:sz w:val="20"/>
                <w:szCs w:val="20"/>
              </w:rPr>
              <w:t xml:space="preserve">       04 Consolidation du FBP au niveau périphérique (districts et provinces) </w:t>
            </w:r>
          </w:p>
        </w:tc>
        <w:tc>
          <w:tcPr>
            <w:tcW w:w="85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16"/>
                <w:szCs w:val="16"/>
              </w:rPr>
            </w:pPr>
            <w:r>
              <w:rPr>
                <w:rFonts w:cs="Arial"/>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r>
      <w:tr w:rsidR="0055535A" w:rsidTr="0055535A">
        <w:trPr>
          <w:trHeight w:val="310"/>
        </w:trPr>
        <w:tc>
          <w:tcPr>
            <w:tcW w:w="6521" w:type="dxa"/>
            <w:tcBorders>
              <w:top w:val="nil"/>
              <w:left w:val="single" w:sz="8" w:space="0" w:color="auto"/>
              <w:bottom w:val="single" w:sz="4" w:space="0" w:color="auto"/>
              <w:right w:val="single" w:sz="4" w:space="0" w:color="auto"/>
            </w:tcBorders>
            <w:hideMark/>
          </w:tcPr>
          <w:p w:rsidR="0055535A" w:rsidRDefault="0055535A">
            <w:pPr>
              <w:rPr>
                <w:rFonts w:cs="Arial"/>
                <w:sz w:val="18"/>
                <w:szCs w:val="18"/>
              </w:rPr>
            </w:pPr>
            <w:r>
              <w:rPr>
                <w:rFonts w:cs="Arial"/>
                <w:sz w:val="20"/>
                <w:szCs w:val="20"/>
              </w:rPr>
              <w:t xml:space="preserve">       05 Consolidation de la qualité des soins au niveau des centres de santé et les hôpitaux de district.</w:t>
            </w: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sz w:val="16"/>
                <w:szCs w:val="16"/>
              </w:rPr>
            </w:pPr>
            <w:r>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6"/>
                <w:szCs w:val="16"/>
              </w:rPr>
            </w:pPr>
          </w:p>
        </w:tc>
      </w:tr>
    </w:tbl>
    <w:p w:rsidR="0055535A" w:rsidRDefault="0055535A" w:rsidP="0055535A">
      <w:pPr>
        <w:pStyle w:val="Index"/>
        <w:suppressLineNumbers w:val="0"/>
        <w:rPr>
          <w:rFonts w:cs="Arial"/>
          <w:sz w:val="20"/>
          <w:szCs w:val="20"/>
          <w:highlight w:val="cyan"/>
        </w:rPr>
      </w:pPr>
    </w:p>
    <w:p w:rsidR="0055535A" w:rsidRDefault="0055535A" w:rsidP="0055535A">
      <w:pPr>
        <w:pStyle w:val="Titre3"/>
        <w:numPr>
          <w:ilvl w:val="2"/>
          <w:numId w:val="16"/>
        </w:numPr>
        <w:rPr>
          <w:sz w:val="24"/>
        </w:rPr>
      </w:pPr>
      <w:bookmarkStart w:id="146" w:name="_Toc475972198"/>
      <w:bookmarkStart w:id="147" w:name="_Toc411938831"/>
      <w:bookmarkStart w:id="148" w:name="_Toc380572182"/>
      <w:r>
        <w:t>Analyse des progrès réalisés</w:t>
      </w:r>
      <w:bookmarkEnd w:id="146"/>
      <w:bookmarkEnd w:id="147"/>
      <w:bookmarkEnd w:id="148"/>
    </w:p>
    <w:p w:rsidR="0055535A" w:rsidRDefault="0055535A" w:rsidP="0055535A">
      <w:pPr>
        <w:pStyle w:val="Illustration"/>
        <w:suppressLineNumbers w:val="0"/>
        <w:spacing w:before="0" w:after="0"/>
        <w:jc w:val="both"/>
        <w:rPr>
          <w:i w:val="0"/>
          <w:sz w:val="20"/>
          <w:szCs w:val="20"/>
        </w:rPr>
      </w:pPr>
      <w:r>
        <w:rPr>
          <w:i w:val="0"/>
          <w:sz w:val="20"/>
          <w:szCs w:val="20"/>
        </w:rPr>
        <w:t xml:space="preserve">Pour la troisième année consécutive le programme a signé un accord de subsides avec les structures provinciales (BPS et BDS). A travers ces accords, les financements pour l’exécution des activités ont été apportés. A côté de cela, des appuis techniques ont été apportés par l’assistance technique et par des personnes mises en contact avec les BPS. Ainsi la première activité principale qui a été organisée, par l’unité d’appui et de gestion de PAISS, est relative à la formation en gestion administrative et financière et les procédures utilisées au niveau du PAISS pour la gestion des fonds octroyés. Cette activité a été poursuivie par des missions de contrôle et de supervision. On note conséquemment une amélioration dans l’organisation des activités ainsi que dans la production des justificatifs. Cette activité est importante en termes de capitalisation et acquisition des connaissances sur la gestion administrative et financière. </w:t>
      </w:r>
    </w:p>
    <w:p w:rsidR="0055535A" w:rsidRDefault="0055535A" w:rsidP="0055535A">
      <w:pPr>
        <w:pStyle w:val="Illustration"/>
        <w:suppressLineNumbers w:val="0"/>
        <w:spacing w:before="0" w:after="0"/>
        <w:jc w:val="both"/>
        <w:rPr>
          <w:i w:val="0"/>
          <w:sz w:val="20"/>
          <w:szCs w:val="20"/>
        </w:rPr>
      </w:pPr>
      <w:r>
        <w:rPr>
          <w:i w:val="0"/>
          <w:sz w:val="20"/>
          <w:szCs w:val="20"/>
        </w:rPr>
        <w:t xml:space="preserve">L’appui du programme a permis aux BDS et BPS de réaliser les supervisions des FOSA à travers l’octroi des moyens de fonctionnement. </w:t>
      </w:r>
    </w:p>
    <w:p w:rsidR="0055535A" w:rsidRDefault="0055535A" w:rsidP="0055535A">
      <w:pPr>
        <w:pStyle w:val="Illustration"/>
        <w:suppressLineNumbers w:val="0"/>
        <w:spacing w:before="0" w:after="0"/>
        <w:jc w:val="both"/>
        <w:rPr>
          <w:i w:val="0"/>
          <w:sz w:val="20"/>
          <w:szCs w:val="20"/>
        </w:rPr>
      </w:pPr>
      <w:r>
        <w:rPr>
          <w:i w:val="0"/>
          <w:sz w:val="20"/>
          <w:szCs w:val="20"/>
        </w:rPr>
        <w:t xml:space="preserve">Les appuis financiers et techniques ont été apportés lors des évaluations et planifications annuelles. Ainsi 100% des plans d’action 2017 de 2 provinces ont été validés dans les ateliers du CPSD provincial. </w:t>
      </w:r>
    </w:p>
    <w:p w:rsidR="0055535A" w:rsidRDefault="0055535A" w:rsidP="0055535A">
      <w:pPr>
        <w:pStyle w:val="Illustration"/>
        <w:suppressLineNumbers w:val="0"/>
        <w:spacing w:before="0" w:after="0"/>
        <w:jc w:val="both"/>
        <w:rPr>
          <w:i w:val="0"/>
          <w:sz w:val="20"/>
          <w:szCs w:val="20"/>
        </w:rPr>
      </w:pPr>
      <w:r>
        <w:rPr>
          <w:i w:val="0"/>
          <w:sz w:val="20"/>
          <w:szCs w:val="20"/>
        </w:rPr>
        <w:t>Les activités de coordination technique et d’analyse des données SIS ont été organisées dans les provinces. Les réunions du CPSD (cadre de partenariat pour la santé et le développement) se sont tenues régulièrement dans les 2 provinces.</w:t>
      </w:r>
    </w:p>
    <w:p w:rsidR="0055535A" w:rsidRDefault="0055535A" w:rsidP="0055535A">
      <w:pPr>
        <w:pStyle w:val="Illustration"/>
        <w:suppressLineNumbers w:val="0"/>
        <w:spacing w:before="0" w:after="0"/>
        <w:jc w:val="both"/>
        <w:rPr>
          <w:sz w:val="20"/>
          <w:szCs w:val="20"/>
        </w:rPr>
      </w:pPr>
      <w:r>
        <w:rPr>
          <w:i w:val="0"/>
          <w:sz w:val="20"/>
          <w:szCs w:val="20"/>
        </w:rPr>
        <w:t xml:space="preserve">Les appuis dans le cadre du financement basé sur la performance se sont poursuivis avec le financement du fonctionnement des CPVV et des subsides des 2 provinces jusqu’au mois de juin 2016. La relève a été faite à partir du mois de juillet par le projet UE-PASS-FBP. </w:t>
      </w:r>
    </w:p>
    <w:p w:rsidR="0055535A" w:rsidRDefault="0055535A" w:rsidP="0055535A">
      <w:pPr>
        <w:pStyle w:val="Illustration"/>
        <w:suppressLineNumbers w:val="0"/>
        <w:spacing w:before="0" w:after="0"/>
        <w:jc w:val="both"/>
        <w:rPr>
          <w:i w:val="0"/>
          <w:sz w:val="20"/>
          <w:szCs w:val="20"/>
        </w:rPr>
      </w:pPr>
    </w:p>
    <w:p w:rsidR="0055535A" w:rsidRDefault="0055535A" w:rsidP="0055535A">
      <w:pPr>
        <w:pStyle w:val="Illustration"/>
        <w:suppressLineNumbers w:val="0"/>
        <w:spacing w:before="0" w:after="0"/>
        <w:jc w:val="both"/>
        <w:rPr>
          <w:i w:val="0"/>
          <w:sz w:val="20"/>
          <w:szCs w:val="20"/>
        </w:rPr>
      </w:pPr>
      <w:r>
        <w:rPr>
          <w:i w:val="0"/>
          <w:sz w:val="20"/>
          <w:szCs w:val="20"/>
        </w:rPr>
        <w:t xml:space="preserve">L’amélioration générale des FOSA dans la gestion administrative, financière et des médicaments s’est renforcée grâce à l’appui des accompagnateurs dans les deux provinces. Ainsi on a observé des scores de qualité qui évoluent bien ; en moyenne autour de 90-95 dans la province de Kirundo. </w:t>
      </w:r>
    </w:p>
    <w:p w:rsidR="0055535A" w:rsidRDefault="0055535A" w:rsidP="0055535A">
      <w:pPr>
        <w:pStyle w:val="Illustration"/>
        <w:suppressLineNumbers w:val="0"/>
        <w:spacing w:before="0" w:after="0"/>
        <w:jc w:val="both"/>
        <w:rPr>
          <w:rFonts w:cs="Arial"/>
          <w:iCs w:val="0"/>
          <w:sz w:val="20"/>
          <w:szCs w:val="20"/>
        </w:rPr>
      </w:pPr>
      <w:r>
        <w:rPr>
          <w:i w:val="0"/>
          <w:sz w:val="20"/>
          <w:szCs w:val="20"/>
        </w:rPr>
        <w:t xml:space="preserve">En rapport avec le renforcement du système de référence et de contre référence, il demeure la </w:t>
      </w:r>
      <w:r>
        <w:rPr>
          <w:rFonts w:cs="Arial"/>
          <w:i w:val="0"/>
          <w:iCs w:val="0"/>
          <w:sz w:val="20"/>
          <w:szCs w:val="20"/>
        </w:rPr>
        <w:t>particularité de la province sanitaire de Kirundo qui est que deux de ses quatre districts (VUMBI et BUSONI) n’ont pas d’hôpital de référence. A cause de cela, les ambulances de ces deux districts évacuent les patients vers l’hôpital de Kirundo avec pour conséquence la surcharge de ce dernier.</w:t>
      </w:r>
      <w:r>
        <w:rPr>
          <w:rFonts w:cs="Arial"/>
          <w:iCs w:val="0"/>
          <w:sz w:val="20"/>
          <w:szCs w:val="20"/>
        </w:rPr>
        <w:t xml:space="preserve"> </w:t>
      </w:r>
    </w:p>
    <w:p w:rsidR="0055535A" w:rsidRDefault="0055535A" w:rsidP="0055535A">
      <w:pPr>
        <w:jc w:val="both"/>
        <w:rPr>
          <w:rFonts w:cs="Arial"/>
          <w:iCs/>
          <w:sz w:val="20"/>
          <w:szCs w:val="20"/>
        </w:rPr>
      </w:pPr>
      <w:r>
        <w:rPr>
          <w:rFonts w:cs="Arial"/>
          <w:iCs/>
          <w:sz w:val="20"/>
          <w:szCs w:val="20"/>
        </w:rPr>
        <w:t>Le programme a continué à financer les frais de maintenance et de réparation des ambulances.</w:t>
      </w:r>
    </w:p>
    <w:p w:rsidR="0055535A" w:rsidRDefault="0055535A" w:rsidP="0055535A">
      <w:pPr>
        <w:jc w:val="both"/>
        <w:rPr>
          <w:rFonts w:cs="Arial"/>
          <w:iCs/>
          <w:sz w:val="20"/>
          <w:szCs w:val="20"/>
        </w:rPr>
      </w:pPr>
      <w:r>
        <w:rPr>
          <w:rFonts w:cs="Arial"/>
          <w:iCs/>
          <w:sz w:val="20"/>
          <w:szCs w:val="20"/>
        </w:rPr>
        <w:t xml:space="preserve">On remarque une légère baisse du taux des malades référés par les centres de santé parmi les hospitalisés qui passe de 32% en 2015 à 30% en 2016 alors que le nombre des malades transférés par ambulances passe de 1787 en 2015 à 1002 en 2016. </w:t>
      </w:r>
    </w:p>
    <w:p w:rsidR="0055535A" w:rsidRDefault="0055535A" w:rsidP="0055535A">
      <w:pPr>
        <w:jc w:val="both"/>
        <w:rPr>
          <w:sz w:val="20"/>
          <w:szCs w:val="20"/>
          <w:lang w:val="fr-BE"/>
        </w:rPr>
      </w:pPr>
      <w:r>
        <w:rPr>
          <w:rFonts w:cs="Arial"/>
          <w:iCs/>
          <w:sz w:val="20"/>
          <w:szCs w:val="20"/>
        </w:rPr>
        <w:t>Pour la consolidation de la participation communautaire, la cible fixée de</w:t>
      </w:r>
      <w:r>
        <w:rPr>
          <w:rFonts w:cs="Arial"/>
          <w:i/>
          <w:iCs/>
          <w:sz w:val="20"/>
          <w:szCs w:val="20"/>
        </w:rPr>
        <w:t xml:space="preserve"> « comités de santé qui tiennent au moins 80% des réunions avec PV » </w:t>
      </w:r>
      <w:r>
        <w:rPr>
          <w:rFonts w:cs="Arial"/>
          <w:iCs/>
          <w:sz w:val="20"/>
          <w:szCs w:val="20"/>
        </w:rPr>
        <w:t xml:space="preserve">a été atteinte. Néanmoins, l’encadrement de ces comités doit être poursuivi pour l’amélioration de la participation communautaire. </w:t>
      </w:r>
      <w:r>
        <w:rPr>
          <w:sz w:val="20"/>
          <w:szCs w:val="20"/>
          <w:lang w:val="fr-BE"/>
        </w:rPr>
        <w:t xml:space="preserve">Des missions de sensibilisation devront continuer à s’organiser pour la promotion de la participation communautaire dans la gestion et le financement du système de référence et contre référence et aussi pour le renforcement de la participation aux activités sur l’épilepsie et le diabète. </w:t>
      </w:r>
    </w:p>
    <w:p w:rsidR="0055535A" w:rsidRDefault="0055535A" w:rsidP="0055535A">
      <w:pPr>
        <w:pStyle w:val="Index"/>
        <w:jc w:val="both"/>
        <w:rPr>
          <w:sz w:val="20"/>
          <w:szCs w:val="20"/>
          <w:lang w:val="fr-BE"/>
        </w:rPr>
      </w:pPr>
      <w:r>
        <w:rPr>
          <w:sz w:val="20"/>
          <w:szCs w:val="20"/>
          <w:lang w:val="fr-BE"/>
        </w:rPr>
        <w:t>Pour le FBP le programme finance les évaluations de la mise en œuvre au niveau des districts ainsi qu’un accompagnement par une équipe technique financée par le PAISS. Les équipes d’accompagnement du PAISS élaborent de manière hebdomadaire et mensuelle les rapports de suivi sur le terrain. Ces rapports sont partagés avec les membres des équipes cadre pour une éventuelle utilisation lors de leurs visites de supervisions des centres de santé. Des présentations des résultats des équipes d’accompagnement sont opérées lors des réunions de validation des factures PBF. Enfin un canevas qui met en relation l’évolution des indicateurs et l’octroi des subsides est mis en place conformément à la recommandation de l’équipe d’audit.</w:t>
      </w:r>
    </w:p>
    <w:p w:rsidR="0055535A" w:rsidRDefault="0055535A" w:rsidP="0055535A">
      <w:pPr>
        <w:pStyle w:val="Index"/>
        <w:jc w:val="both"/>
        <w:rPr>
          <w:sz w:val="20"/>
          <w:szCs w:val="20"/>
          <w:lang w:val="fr-BE"/>
        </w:rPr>
      </w:pPr>
      <w:r>
        <w:rPr>
          <w:sz w:val="20"/>
          <w:szCs w:val="20"/>
          <w:lang w:val="fr-BE"/>
        </w:rPr>
        <w:t xml:space="preserve">Le financement des coûts opérationnels pour le CPVV a été complètement financé durant toute l’année. </w:t>
      </w:r>
    </w:p>
    <w:p w:rsidR="0055535A" w:rsidRDefault="0055535A" w:rsidP="0055535A">
      <w:pPr>
        <w:pStyle w:val="Index"/>
        <w:jc w:val="both"/>
        <w:rPr>
          <w:sz w:val="20"/>
          <w:szCs w:val="20"/>
          <w:lang w:val="fr-BE"/>
        </w:rPr>
      </w:pPr>
      <w:r>
        <w:rPr>
          <w:sz w:val="20"/>
          <w:szCs w:val="20"/>
          <w:lang w:val="fr-BE"/>
        </w:rPr>
        <w:t>Pour la gestion de la qualité des soins la double assistance des ATN et des accompagnateurs assure une dynamique dans l’analyse de la situation et les solutions envisagées.</w:t>
      </w:r>
      <w:r>
        <w:t xml:space="preserve"> </w:t>
      </w:r>
      <w:r>
        <w:rPr>
          <w:sz w:val="20"/>
          <w:szCs w:val="20"/>
          <w:lang w:val="fr-BE"/>
        </w:rPr>
        <w:t>Aussi, tous les districts ont bénéficié d’un appui technique et financier pour l’organisation des réunions d’analyse SIS (Système d’information sanitaire).</w:t>
      </w:r>
    </w:p>
    <w:p w:rsidR="0055535A" w:rsidRDefault="0055535A" w:rsidP="0055535A">
      <w:pPr>
        <w:pStyle w:val="Index"/>
        <w:jc w:val="both"/>
        <w:rPr>
          <w:sz w:val="20"/>
          <w:szCs w:val="20"/>
          <w:lang w:val="fr-BE"/>
        </w:rPr>
      </w:pPr>
      <w:r>
        <w:rPr>
          <w:sz w:val="20"/>
          <w:szCs w:val="20"/>
          <w:lang w:val="fr-BE"/>
        </w:rPr>
        <w:t>Concernant la prise en charge des maladies chroniques toute une série de formations sur la prise en charge du Diabète et les maladies mentales ont été octroyées avec le Ministère de la santé. Le résultat est que le nombre des malades chroniques qui sont référés par les centres de santé (Diabète et épilepsie) augmente.</w:t>
      </w:r>
    </w:p>
    <w:p w:rsidR="0055535A" w:rsidRDefault="0055535A" w:rsidP="0055535A">
      <w:pPr>
        <w:pStyle w:val="Index"/>
        <w:jc w:val="both"/>
        <w:rPr>
          <w:sz w:val="20"/>
          <w:szCs w:val="20"/>
          <w:lang w:val="fr-BE"/>
        </w:rPr>
      </w:pPr>
      <w:r>
        <w:rPr>
          <w:sz w:val="20"/>
          <w:szCs w:val="20"/>
          <w:lang w:val="fr-BE"/>
        </w:rPr>
        <w:t>Malheureusement, on assiste à une augmentation du taux de mortalité intra hospitalière et surtout des décès maternels. Cette situation critique et multifactorielle a poussé à la mise en œuvre d’une feuille de route de surveillance de la mortalité intra-hospitalière à l’hôpital de Kirundo.</w:t>
      </w:r>
    </w:p>
    <w:p w:rsidR="0055535A" w:rsidRDefault="0055535A" w:rsidP="0055535A">
      <w:pPr>
        <w:rPr>
          <w:lang w:val="fr-BE"/>
        </w:rPr>
      </w:pPr>
    </w:p>
    <w:p w:rsidR="0055535A" w:rsidRDefault="0055535A" w:rsidP="0055535A">
      <w:pPr>
        <w:rPr>
          <w:lang w:val="fr-BE"/>
        </w:rPr>
      </w:pPr>
    </w:p>
    <w:p w:rsidR="0055535A" w:rsidRDefault="0055535A" w:rsidP="0055535A">
      <w:pPr>
        <w:pStyle w:val="Titre2"/>
        <w:pageBreakBefore/>
        <w:numPr>
          <w:ilvl w:val="1"/>
          <w:numId w:val="16"/>
        </w:numPr>
        <w:tabs>
          <w:tab w:val="clear" w:pos="3978"/>
          <w:tab w:val="num" w:pos="576"/>
        </w:tabs>
        <w:ind w:left="578" w:hanging="578"/>
        <w:rPr>
          <w:bCs w:val="0"/>
        </w:rPr>
      </w:pPr>
      <w:bookmarkStart w:id="149" w:name="_Toc475972199"/>
      <w:r>
        <w:rPr>
          <w:bCs w:val="0"/>
        </w:rPr>
        <w:t>Volet PC: performance de l'output 3</w:t>
      </w:r>
      <w:bookmarkEnd w:id="149"/>
      <w:r>
        <w:rPr>
          <w:bCs w:val="0"/>
        </w:rPr>
        <w:t xml:space="preserve"> </w:t>
      </w:r>
    </w:p>
    <w:p w:rsidR="0055535A" w:rsidRDefault="0055535A" w:rsidP="0055535A"/>
    <w:tbl>
      <w:tblPr>
        <w:tblW w:w="978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247"/>
        <w:gridCol w:w="1021"/>
        <w:gridCol w:w="992"/>
        <w:gridCol w:w="1417"/>
      </w:tblGrid>
      <w:tr w:rsidR="0055535A" w:rsidTr="0055535A">
        <w:tc>
          <w:tcPr>
            <w:tcW w:w="9781" w:type="dxa"/>
            <w:gridSpan w:val="5"/>
            <w:tcBorders>
              <w:top w:val="single" w:sz="4" w:space="0" w:color="auto"/>
              <w:left w:val="single" w:sz="4" w:space="0" w:color="auto"/>
              <w:bottom w:val="single" w:sz="4" w:space="0" w:color="auto"/>
              <w:right w:val="single" w:sz="4" w:space="0" w:color="auto"/>
            </w:tcBorders>
            <w:vAlign w:val="center"/>
            <w:hideMark/>
          </w:tcPr>
          <w:p w:rsidR="0055535A" w:rsidRDefault="0055535A">
            <w:pPr>
              <w:rPr>
                <w:b/>
                <w:sz w:val="20"/>
                <w:szCs w:val="20"/>
              </w:rPr>
            </w:pPr>
            <w:r>
              <w:rPr>
                <w:b/>
                <w:sz w:val="20"/>
                <w:szCs w:val="20"/>
              </w:rPr>
              <w:t xml:space="preserve">Output 3 : </w:t>
            </w:r>
            <w:r>
              <w:rPr>
                <w:sz w:val="20"/>
                <w:szCs w:val="20"/>
              </w:rPr>
              <w:t>Des ressources humaines en santé sont disponibles aux différents niveaux du système de santé</w:t>
            </w: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rFonts w:cs="Tahoma"/>
                <w:b/>
                <w:sz w:val="16"/>
                <w:szCs w:val="16"/>
              </w:rPr>
              <w:t>Indicateurs</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 xml:space="preserve">Valeur de la </w:t>
            </w:r>
            <w:r>
              <w:rPr>
                <w:b/>
                <w:i/>
                <w:sz w:val="16"/>
              </w:rPr>
              <w:t>Baseline</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N-1</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Valeur année N</w:t>
            </w:r>
          </w:p>
        </w:tc>
        <w:tc>
          <w:tcPr>
            <w:tcW w:w="141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6"/>
              </w:rPr>
            </w:pPr>
            <w:r>
              <w:rPr>
                <w:b/>
                <w:sz w:val="16"/>
              </w:rPr>
              <w:t>Cible finale</w:t>
            </w: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de CDS qui remplissent les normes en ressources humaines (infirmiers)</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b/>
                <w:bCs/>
                <w:kern w:val="0"/>
                <w:sz w:val="20"/>
                <w:szCs w:val="20"/>
                <w:lang w:val="nl-BE" w:eastAsia="nl-BE"/>
              </w:rPr>
              <w:t>26% (2012)</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kern w:val="0"/>
                <w:sz w:val="20"/>
                <w:szCs w:val="20"/>
                <w:lang w:val="nl-BE" w:eastAsia="nl-BE"/>
              </w:rPr>
              <w:t>12% </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69%</w:t>
            </w:r>
          </w:p>
        </w:tc>
        <w:tc>
          <w:tcPr>
            <w:tcW w:w="1417"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p>
          <w:p w:rsidR="0055535A" w:rsidRDefault="0055535A">
            <w:pPr>
              <w:jc w:val="center"/>
              <w:rPr>
                <w:rFonts w:cs="Arial"/>
                <w:b/>
                <w:bCs/>
                <w:sz w:val="18"/>
                <w:szCs w:val="18"/>
              </w:rPr>
            </w:pPr>
            <w:r>
              <w:rPr>
                <w:rFonts w:cs="Arial"/>
                <w:b/>
                <w:bCs/>
                <w:sz w:val="18"/>
                <w:szCs w:val="18"/>
              </w:rPr>
              <w:t>50%</w:t>
            </w:r>
          </w:p>
          <w:p w:rsidR="0055535A" w:rsidRDefault="0055535A">
            <w:pPr>
              <w:jc w:val="center"/>
              <w:rPr>
                <w:rFonts w:cs="Arial"/>
                <w:b/>
                <w:bCs/>
                <w:sz w:val="18"/>
                <w:szCs w:val="18"/>
              </w:rPr>
            </w:pP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d'hôpitaux de district qui remplissent les normes ressources humaines (médecins formés en chirurgie de district, infirmiers, infirmiers-anesthésistes, laborantins)</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b/>
                <w:bCs/>
                <w:kern w:val="0"/>
                <w:sz w:val="20"/>
                <w:szCs w:val="20"/>
                <w:lang w:val="nl-BE" w:eastAsia="nl-BE"/>
              </w:rPr>
              <w:t>11% (2012)</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kern w:val="0"/>
                <w:sz w:val="20"/>
                <w:szCs w:val="20"/>
                <w:lang w:val="nl-BE" w:eastAsia="nl-BE"/>
              </w:rPr>
              <w:t> 10%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40%</w:t>
            </w: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de DS qui élaborent un plan annuel de formation continue intégrant les programmes verticaux</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b/>
                <w:bCs/>
                <w:kern w:val="0"/>
                <w:sz w:val="20"/>
                <w:szCs w:val="20"/>
                <w:lang w:val="nl-BE" w:eastAsia="nl-BE"/>
              </w:rPr>
              <w:t>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kern w:val="0"/>
                <w:sz w:val="20"/>
                <w:szCs w:val="20"/>
                <w:lang w:val="nl-BE" w:eastAsia="nl-BE"/>
              </w:rPr>
              <w:t> 17%</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25%</w:t>
            </w:r>
          </w:p>
        </w:tc>
        <w:tc>
          <w:tcPr>
            <w:tcW w:w="1417"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p>
          <w:p w:rsidR="0055535A" w:rsidRDefault="0055535A">
            <w:pPr>
              <w:jc w:val="center"/>
              <w:rPr>
                <w:rFonts w:cs="Arial"/>
                <w:b/>
                <w:bCs/>
                <w:sz w:val="18"/>
                <w:szCs w:val="18"/>
              </w:rPr>
            </w:pPr>
            <w:r>
              <w:rPr>
                <w:rFonts w:cs="Arial"/>
                <w:b/>
                <w:bCs/>
                <w:sz w:val="18"/>
                <w:szCs w:val="18"/>
              </w:rPr>
              <w:t>60%</w:t>
            </w:r>
          </w:p>
          <w:p w:rsidR="0055535A" w:rsidRDefault="0055535A">
            <w:pPr>
              <w:jc w:val="center"/>
              <w:rPr>
                <w:rFonts w:cs="Arial"/>
                <w:b/>
                <w:bCs/>
                <w:sz w:val="18"/>
                <w:szCs w:val="18"/>
              </w:rPr>
            </w:pP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de réalisation des formations continues intégrant les programmes verticaux des plans annuels des districts</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b/>
                <w:bCs/>
                <w:kern w:val="0"/>
                <w:sz w:val="20"/>
                <w:szCs w:val="20"/>
                <w:lang w:val="nl-BE" w:eastAsia="nl-BE"/>
              </w:rPr>
              <w:t>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ascii="Calibri" w:hAnsi="Calibri"/>
                <w:kern w:val="0"/>
                <w:sz w:val="20"/>
                <w:szCs w:val="20"/>
                <w:lang w:val="nl-BE" w:eastAsia="nl-BE"/>
              </w:rPr>
              <w:t> 0%</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p>
          <w:p w:rsidR="0055535A" w:rsidRDefault="0055535A">
            <w:pPr>
              <w:jc w:val="center"/>
              <w:rPr>
                <w:rFonts w:cs="Arial"/>
                <w:b/>
                <w:bCs/>
                <w:sz w:val="18"/>
                <w:szCs w:val="18"/>
              </w:rPr>
            </w:pPr>
            <w:r>
              <w:rPr>
                <w:rFonts w:cs="Arial"/>
                <w:b/>
                <w:bCs/>
                <w:sz w:val="18"/>
                <w:szCs w:val="18"/>
              </w:rPr>
              <w:t>60%</w:t>
            </w:r>
          </w:p>
          <w:p w:rsidR="0055535A" w:rsidRDefault="0055535A">
            <w:pPr>
              <w:jc w:val="center"/>
              <w:rPr>
                <w:rFonts w:cs="Arial"/>
                <w:b/>
                <w:bCs/>
                <w:sz w:val="18"/>
                <w:szCs w:val="18"/>
              </w:rPr>
            </w:pP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Effectifs des élèves dans les écoles paramédicales secondaires publiques et privées</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b/>
                <w:bCs/>
                <w:kern w:val="0"/>
                <w:sz w:val="20"/>
                <w:szCs w:val="20"/>
                <w:lang w:val="nl-BE" w:eastAsia="nl-BE"/>
              </w:rPr>
            </w:pPr>
            <w:r>
              <w:rPr>
                <w:rFonts w:ascii="Calibri" w:hAnsi="Calibri"/>
                <w:b/>
                <w:bCs/>
                <w:kern w:val="0"/>
                <w:sz w:val="20"/>
                <w:szCs w:val="20"/>
                <w:lang w:val="nl-BE" w:eastAsia="nl-BE"/>
              </w:rPr>
              <w:t>5.260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kern w:val="0"/>
                <w:sz w:val="20"/>
                <w:szCs w:val="20"/>
                <w:lang w:val="nl-BE" w:eastAsia="nl-BE"/>
              </w:rPr>
            </w:pPr>
            <w:r>
              <w:rPr>
                <w:rFonts w:ascii="Calibri" w:hAnsi="Calibri"/>
                <w:kern w:val="0"/>
                <w:sz w:val="20"/>
                <w:szCs w:val="20"/>
                <w:lang w:val="nl-BE" w:eastAsia="nl-BE"/>
              </w:rPr>
              <w:t>6923</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6631</w:t>
            </w:r>
          </w:p>
        </w:tc>
        <w:tc>
          <w:tcPr>
            <w:tcW w:w="1417"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p>
          <w:p w:rsidR="0055535A" w:rsidRDefault="0055535A">
            <w:pPr>
              <w:jc w:val="center"/>
              <w:rPr>
                <w:rFonts w:cs="Arial"/>
                <w:b/>
                <w:bCs/>
                <w:sz w:val="18"/>
                <w:szCs w:val="18"/>
              </w:rPr>
            </w:pPr>
            <w:r>
              <w:rPr>
                <w:rFonts w:cs="Arial"/>
                <w:b/>
                <w:bCs/>
                <w:sz w:val="18"/>
                <w:szCs w:val="18"/>
              </w:rPr>
              <w:t>4.320</w:t>
            </w:r>
          </w:p>
          <w:p w:rsidR="0055535A" w:rsidRDefault="0055535A">
            <w:pPr>
              <w:jc w:val="center"/>
              <w:rPr>
                <w:rFonts w:cs="Arial"/>
                <w:b/>
                <w:bCs/>
                <w:sz w:val="18"/>
                <w:szCs w:val="18"/>
              </w:rPr>
            </w:pP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Proportion de modules ou unités d’apprentissage pédagogique élaboré pour les infirmiers A2 par rapport aux modules prévus</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b/>
                <w:bCs/>
                <w:kern w:val="0"/>
                <w:sz w:val="20"/>
                <w:szCs w:val="20"/>
                <w:lang w:val="nl-BE" w:eastAsia="nl-BE"/>
              </w:rPr>
            </w:pPr>
            <w:r>
              <w:rPr>
                <w:rFonts w:ascii="Calibri" w:hAnsi="Calibri"/>
                <w:b/>
                <w:bCs/>
                <w:kern w:val="0"/>
                <w:sz w:val="20"/>
                <w:szCs w:val="20"/>
                <w:lang w:val="nl-BE" w:eastAsia="nl-BE"/>
              </w:rPr>
              <w:t>100%*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kern w:val="0"/>
                <w:sz w:val="20"/>
                <w:szCs w:val="20"/>
                <w:lang w:val="nl-BE" w:eastAsia="nl-BE"/>
              </w:rPr>
            </w:pPr>
            <w:r>
              <w:rPr>
                <w:rFonts w:ascii="Calibri" w:hAnsi="Calibri"/>
                <w:kern w:val="0"/>
                <w:sz w:val="20"/>
                <w:szCs w:val="20"/>
                <w:lang w:val="nl-BE" w:eastAsia="nl-BE"/>
              </w:rPr>
              <w:t> NA</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NA</w:t>
            </w:r>
          </w:p>
        </w:tc>
        <w:tc>
          <w:tcPr>
            <w:tcW w:w="1417"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p>
          <w:p w:rsidR="0055535A" w:rsidRDefault="0055535A">
            <w:pPr>
              <w:jc w:val="center"/>
              <w:rPr>
                <w:rFonts w:cs="Arial"/>
                <w:b/>
                <w:bCs/>
                <w:sz w:val="18"/>
                <w:szCs w:val="18"/>
              </w:rPr>
            </w:pPr>
            <w:r>
              <w:rPr>
                <w:rFonts w:cs="Arial"/>
                <w:b/>
                <w:bCs/>
                <w:sz w:val="18"/>
                <w:szCs w:val="18"/>
              </w:rPr>
              <w:t>100%</w:t>
            </w:r>
          </w:p>
          <w:p w:rsidR="0055535A" w:rsidRDefault="0055535A">
            <w:pPr>
              <w:jc w:val="center"/>
              <w:rPr>
                <w:rFonts w:cs="Arial"/>
                <w:b/>
                <w:bCs/>
                <w:sz w:val="18"/>
                <w:szCs w:val="18"/>
              </w:rPr>
            </w:pP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Taux de  performance FBP des écoles paramédicales publiques contractualisées</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b/>
                <w:bCs/>
                <w:kern w:val="0"/>
                <w:sz w:val="20"/>
                <w:szCs w:val="20"/>
                <w:lang w:val="nl-BE" w:eastAsia="nl-BE"/>
              </w:rPr>
            </w:pPr>
            <w:r>
              <w:rPr>
                <w:rFonts w:ascii="Calibri" w:hAnsi="Calibri"/>
                <w:b/>
                <w:bCs/>
                <w:kern w:val="0"/>
                <w:sz w:val="20"/>
                <w:szCs w:val="20"/>
                <w:lang w:val="nl-BE" w:eastAsia="nl-BE"/>
              </w:rPr>
              <w:t>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kern w:val="0"/>
                <w:sz w:val="20"/>
                <w:szCs w:val="20"/>
                <w:lang w:val="nl-BE" w:eastAsia="nl-BE"/>
              </w:rPr>
            </w:pPr>
            <w:r>
              <w:rPr>
                <w:rFonts w:ascii="Calibri" w:hAnsi="Calibri"/>
                <w:kern w:val="0"/>
                <w:sz w:val="20"/>
                <w:szCs w:val="20"/>
                <w:lang w:val="nl-BE" w:eastAsia="nl-BE"/>
              </w:rPr>
              <w:t>79% </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 xml:space="preserve">NA </w:t>
            </w:r>
            <w:r>
              <w:rPr>
                <w:rFonts w:cs="Arial"/>
                <w:b/>
                <w:bCs/>
                <w:sz w:val="18"/>
                <w:szCs w:val="18"/>
                <w:vertAlign w:val="superscript"/>
              </w:rPr>
              <w:t>(*)</w:t>
            </w:r>
          </w:p>
        </w:tc>
        <w:tc>
          <w:tcPr>
            <w:tcW w:w="1417"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p>
          <w:p w:rsidR="0055535A" w:rsidRDefault="0055535A">
            <w:pPr>
              <w:jc w:val="center"/>
              <w:rPr>
                <w:rFonts w:cs="Arial"/>
                <w:b/>
                <w:bCs/>
                <w:sz w:val="18"/>
                <w:szCs w:val="18"/>
              </w:rPr>
            </w:pPr>
            <w:r>
              <w:rPr>
                <w:rFonts w:cs="Arial"/>
                <w:b/>
                <w:bCs/>
                <w:sz w:val="18"/>
                <w:szCs w:val="18"/>
              </w:rPr>
              <w:t>80%</w:t>
            </w:r>
          </w:p>
          <w:p w:rsidR="0055535A" w:rsidRDefault="0055535A">
            <w:pPr>
              <w:jc w:val="center"/>
              <w:rPr>
                <w:rFonts w:cs="Arial"/>
                <w:b/>
                <w:bCs/>
                <w:sz w:val="18"/>
                <w:szCs w:val="18"/>
              </w:rPr>
            </w:pP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 xml:space="preserve">Taux de réalisation des contrôles de qualité de l'enseignement paramédical dans les écoles publiques et privées </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b/>
                <w:bCs/>
                <w:kern w:val="0"/>
                <w:sz w:val="20"/>
                <w:szCs w:val="20"/>
                <w:lang w:val="nl-BE" w:eastAsia="nl-BE"/>
              </w:rPr>
            </w:pPr>
            <w:r>
              <w:rPr>
                <w:rFonts w:ascii="Calibri" w:hAnsi="Calibri"/>
                <w:b/>
                <w:bCs/>
                <w:kern w:val="0"/>
                <w:sz w:val="20"/>
                <w:szCs w:val="20"/>
                <w:lang w:val="nl-BE" w:eastAsia="nl-BE"/>
              </w:rPr>
              <w:t>50%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kern w:val="0"/>
                <w:sz w:val="20"/>
                <w:szCs w:val="20"/>
                <w:lang w:val="nl-BE" w:eastAsia="nl-BE"/>
              </w:rPr>
            </w:pPr>
            <w:r>
              <w:rPr>
                <w:rFonts w:ascii="Calibri" w:hAnsi="Calibri"/>
                <w:kern w:val="0"/>
                <w:sz w:val="20"/>
                <w:szCs w:val="20"/>
                <w:lang w:val="nl-BE" w:eastAsia="nl-BE"/>
              </w:rPr>
              <w:t>50% </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35%</w:t>
            </w:r>
          </w:p>
        </w:tc>
        <w:tc>
          <w:tcPr>
            <w:tcW w:w="1417"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p>
          <w:p w:rsidR="0055535A" w:rsidRDefault="0055535A">
            <w:pPr>
              <w:jc w:val="center"/>
              <w:rPr>
                <w:rFonts w:cs="Arial"/>
                <w:b/>
                <w:bCs/>
                <w:sz w:val="18"/>
                <w:szCs w:val="18"/>
              </w:rPr>
            </w:pPr>
            <w:r>
              <w:rPr>
                <w:rFonts w:cs="Arial"/>
                <w:b/>
                <w:bCs/>
                <w:sz w:val="18"/>
                <w:szCs w:val="18"/>
              </w:rPr>
              <w:t>80%</w:t>
            </w:r>
          </w:p>
          <w:p w:rsidR="0055535A" w:rsidRDefault="0055535A">
            <w:pPr>
              <w:jc w:val="center"/>
              <w:rPr>
                <w:rFonts w:cs="Arial"/>
                <w:b/>
                <w:bCs/>
                <w:sz w:val="18"/>
                <w:szCs w:val="18"/>
              </w:rPr>
            </w:pPr>
          </w:p>
        </w:tc>
      </w:tr>
      <w:tr w:rsidR="0055535A" w:rsidTr="0055535A">
        <w:tc>
          <w:tcPr>
            <w:tcW w:w="510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rPr>
                <w:rFonts w:cs="Arial"/>
                <w:sz w:val="18"/>
                <w:szCs w:val="18"/>
              </w:rPr>
            </w:pPr>
            <w:r>
              <w:rPr>
                <w:rFonts w:cs="Arial"/>
                <w:sz w:val="18"/>
                <w:szCs w:val="18"/>
              </w:rPr>
              <w:t>Nombre de stagiaires par lieu de stage dans les écoles publiques et  privées (CDS + services hospitaliers)</w:t>
            </w:r>
          </w:p>
        </w:tc>
        <w:tc>
          <w:tcPr>
            <w:tcW w:w="1247"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b/>
                <w:bCs/>
                <w:kern w:val="0"/>
                <w:sz w:val="20"/>
                <w:szCs w:val="20"/>
                <w:lang w:val="nl-BE" w:eastAsia="nl-BE"/>
              </w:rPr>
            </w:pPr>
            <w:r>
              <w:rPr>
                <w:rFonts w:ascii="Calibri" w:hAnsi="Calibri"/>
                <w:b/>
                <w:bCs/>
                <w:kern w:val="0"/>
                <w:sz w:val="20"/>
                <w:szCs w:val="20"/>
                <w:lang w:val="nl-BE" w:eastAsia="nl-BE"/>
              </w:rPr>
              <w:t>24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ascii="Calibri" w:hAnsi="Calibri"/>
                <w:kern w:val="0"/>
                <w:sz w:val="20"/>
                <w:szCs w:val="20"/>
                <w:lang w:val="nl-BE" w:eastAsia="nl-BE"/>
              </w:rPr>
            </w:pPr>
            <w:r>
              <w:rPr>
                <w:rFonts w:ascii="Calibri" w:hAnsi="Calibri"/>
                <w:kern w:val="0"/>
                <w:sz w:val="20"/>
                <w:szCs w:val="20"/>
                <w:lang w:val="nl-BE" w:eastAsia="nl-BE"/>
              </w:rPr>
              <w:t> 12</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cs="Arial"/>
                <w:b/>
                <w:bCs/>
                <w:sz w:val="18"/>
                <w:szCs w:val="18"/>
              </w:rPr>
            </w:pPr>
            <w:r>
              <w:rPr>
                <w:rFonts w:cs="Arial"/>
                <w:b/>
                <w:bCs/>
                <w:sz w:val="18"/>
                <w:szCs w:val="18"/>
              </w:rPr>
              <w:t>22</w:t>
            </w:r>
          </w:p>
        </w:tc>
        <w:tc>
          <w:tcPr>
            <w:tcW w:w="1417" w:type="dxa"/>
            <w:tcBorders>
              <w:top w:val="single" w:sz="4" w:space="0" w:color="auto"/>
              <w:left w:val="single" w:sz="4" w:space="0" w:color="auto"/>
              <w:bottom w:val="single" w:sz="4" w:space="0" w:color="auto"/>
              <w:right w:val="single" w:sz="4" w:space="0" w:color="auto"/>
            </w:tcBorders>
            <w:vAlign w:val="center"/>
          </w:tcPr>
          <w:p w:rsidR="0055535A" w:rsidRDefault="0055535A">
            <w:pPr>
              <w:jc w:val="center"/>
              <w:rPr>
                <w:rFonts w:cs="Arial"/>
                <w:b/>
                <w:bCs/>
                <w:sz w:val="18"/>
                <w:szCs w:val="18"/>
              </w:rPr>
            </w:pPr>
          </w:p>
          <w:p w:rsidR="0055535A" w:rsidRDefault="0055535A">
            <w:pPr>
              <w:jc w:val="center"/>
              <w:rPr>
                <w:rFonts w:cs="Arial"/>
                <w:b/>
                <w:bCs/>
                <w:sz w:val="18"/>
                <w:szCs w:val="18"/>
              </w:rPr>
            </w:pPr>
            <w:r>
              <w:rPr>
                <w:rFonts w:cs="Arial"/>
                <w:b/>
                <w:bCs/>
                <w:sz w:val="18"/>
                <w:szCs w:val="18"/>
              </w:rPr>
              <w:t>10</w:t>
            </w:r>
          </w:p>
          <w:p w:rsidR="0055535A" w:rsidRDefault="0055535A">
            <w:pPr>
              <w:jc w:val="center"/>
              <w:rPr>
                <w:rFonts w:cs="Arial"/>
                <w:b/>
                <w:bCs/>
                <w:sz w:val="18"/>
                <w:szCs w:val="18"/>
              </w:rPr>
            </w:pPr>
          </w:p>
        </w:tc>
      </w:tr>
    </w:tbl>
    <w:p w:rsidR="0055535A" w:rsidRDefault="0055535A" w:rsidP="0055535A">
      <w:pPr>
        <w:pStyle w:val="Titre3"/>
        <w:numPr>
          <w:ilvl w:val="2"/>
          <w:numId w:val="16"/>
        </w:numPr>
      </w:pPr>
      <w:bookmarkStart w:id="150" w:name="_Toc475972200"/>
      <w:bookmarkStart w:id="151" w:name="_Toc411938854"/>
      <w:r>
        <w:t>État d'avancement des principales activités</w:t>
      </w:r>
      <w:bookmarkEnd w:id="150"/>
      <w:bookmarkEnd w:id="151"/>
    </w:p>
    <w:tbl>
      <w:tblPr>
        <w:tblW w:w="9780"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851"/>
        <w:gridCol w:w="850"/>
        <w:gridCol w:w="709"/>
        <w:gridCol w:w="851"/>
      </w:tblGrid>
      <w:tr w:rsidR="0055535A" w:rsidTr="0055535A">
        <w:trPr>
          <w:cantSplit/>
          <w:trHeight w:val="365"/>
        </w:trPr>
        <w:tc>
          <w:tcPr>
            <w:tcW w:w="6519" w:type="dxa"/>
            <w:vMerge w:val="restart"/>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b/>
                <w:bCs/>
                <w:sz w:val="18"/>
                <w:szCs w:val="18"/>
              </w:rPr>
            </w:pPr>
            <w:r>
              <w:rPr>
                <w:b/>
                <w:sz w:val="18"/>
                <w:szCs w:val="18"/>
              </w:rPr>
              <w:t xml:space="preserve">État d'avancement des </w:t>
            </w:r>
            <w:r>
              <w:rPr>
                <w:b/>
                <w:sz w:val="18"/>
                <w:szCs w:val="18"/>
                <w:u w:val="single"/>
              </w:rPr>
              <w:t xml:space="preserve">principales </w:t>
            </w:r>
            <w:r>
              <w:rPr>
                <w:b/>
                <w:sz w:val="18"/>
                <w:szCs w:val="18"/>
              </w:rPr>
              <w:t xml:space="preserve">activités </w:t>
            </w:r>
            <w:r>
              <w:rPr>
                <w:rStyle w:val="Appelnotedebasdep"/>
                <w:rFonts w:eastAsia="Arial Unicode MS"/>
                <w:sz w:val="18"/>
                <w:szCs w:val="18"/>
              </w:rPr>
              <w:footnoteReference w:id="14"/>
            </w:r>
          </w:p>
          <w:p w:rsidR="0055535A" w:rsidRDefault="0055535A">
            <w:pPr>
              <w:pStyle w:val="Pieddepage"/>
              <w:keepNext/>
              <w:spacing w:before="120"/>
              <w:rPr>
                <w:rFonts w:cs="Arial"/>
                <w:i/>
                <w:iCs/>
                <w:sz w:val="18"/>
                <w:szCs w:val="18"/>
              </w:rPr>
            </w:pPr>
          </w:p>
        </w:tc>
        <w:tc>
          <w:tcPr>
            <w:tcW w:w="3261" w:type="dxa"/>
            <w:gridSpan w:val="4"/>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jc w:val="center"/>
              <w:rPr>
                <w:rFonts w:cs="Arial"/>
                <w:b/>
                <w:bCs/>
                <w:sz w:val="18"/>
                <w:szCs w:val="18"/>
              </w:rPr>
            </w:pPr>
            <w:r>
              <w:rPr>
                <w:b/>
                <w:sz w:val="18"/>
                <w:szCs w:val="18"/>
              </w:rPr>
              <w:t>État d'avancement :</w:t>
            </w:r>
          </w:p>
        </w:tc>
      </w:tr>
      <w:tr w:rsidR="0055535A" w:rsidTr="0055535A">
        <w:trPr>
          <w:cantSplit/>
          <w:trHeight w:val="149"/>
        </w:trPr>
        <w:tc>
          <w:tcPr>
            <w:tcW w:w="6519"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cs="Arial"/>
                <w:i/>
                <w:iCs/>
                <w:sz w:val="18"/>
                <w:szCs w:val="18"/>
              </w:rPr>
            </w:pP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18"/>
                <w:szCs w:val="18"/>
              </w:rPr>
            </w:pPr>
            <w:r>
              <w:rPr>
                <w:sz w:val="18"/>
                <w:szCs w:val="18"/>
              </w:rPr>
              <w:t>A</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18"/>
                <w:szCs w:val="18"/>
              </w:rPr>
            </w:pPr>
            <w:r>
              <w:rPr>
                <w:sz w:val="18"/>
                <w:szCs w:val="18"/>
              </w:rPr>
              <w:t>B</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18"/>
                <w:szCs w:val="18"/>
              </w:rPr>
            </w:pPr>
            <w:r>
              <w:rPr>
                <w:sz w:val="18"/>
                <w:szCs w:val="18"/>
              </w:rPr>
              <w:t>C</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55535A" w:rsidRDefault="0055535A">
            <w:pPr>
              <w:pStyle w:val="Pieddepage"/>
              <w:keepNext/>
              <w:spacing w:before="120"/>
              <w:jc w:val="center"/>
              <w:rPr>
                <w:rFonts w:cs="Arial"/>
                <w:sz w:val="18"/>
                <w:szCs w:val="18"/>
              </w:rPr>
            </w:pPr>
            <w:r>
              <w:rPr>
                <w:sz w:val="18"/>
                <w:szCs w:val="18"/>
              </w:rPr>
              <w:t>D</w:t>
            </w:r>
          </w:p>
        </w:tc>
      </w:tr>
      <w:tr w:rsidR="0055535A" w:rsidTr="0055535A">
        <w:trPr>
          <w:trHeight w:val="323"/>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8"/>
                <w:szCs w:val="18"/>
              </w:rPr>
            </w:pPr>
            <w:r>
              <w:rPr>
                <w:rFonts w:cs="Arial"/>
                <w:sz w:val="18"/>
                <w:szCs w:val="18"/>
                <w:lang w:eastAsia="es-EC"/>
              </w:rPr>
              <w:t>Appui à l'actualisation de la politique et du plan stratégique de développement des ressources humaines (SUSPENDU)</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8"/>
                <w:szCs w:val="18"/>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8"/>
                <w:szCs w:val="18"/>
              </w:rPr>
            </w:pPr>
            <w:r>
              <w:rPr>
                <w:rFonts w:cs="Arial"/>
                <w:sz w:val="18"/>
                <w:szCs w:val="18"/>
                <w:lang w:eastAsia="es-EC"/>
              </w:rPr>
              <w:t>Appui à l’élaboration et la mise en œuvre de plans décentralisés de formation du personnel opérationnel suivant la stratégie nationale de formation du personnel</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8"/>
                <w:szCs w:val="18"/>
              </w:rPr>
            </w:pPr>
          </w:p>
        </w:tc>
      </w:tr>
      <w:tr w:rsidR="0055535A" w:rsidTr="0055535A">
        <w:trPr>
          <w:trHeight w:val="72"/>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8"/>
                <w:szCs w:val="18"/>
              </w:rPr>
            </w:pPr>
            <w:r>
              <w:rPr>
                <w:rFonts w:cs="Arial"/>
                <w:sz w:val="18"/>
                <w:szCs w:val="18"/>
                <w:lang w:eastAsia="es-EC"/>
              </w:rPr>
              <w:t>Appui aux formations, supervisions et encadrement des structures décentralisées de gestion des ressources humaines.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8"/>
                <w:szCs w:val="18"/>
              </w:rPr>
            </w:pPr>
            <w:r>
              <w:rPr>
                <w:rFonts w:cs="Arial"/>
                <w:sz w:val="18"/>
                <w:szCs w:val="18"/>
              </w:rPr>
              <w:t>X</w:t>
            </w: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8"/>
                <w:szCs w:val="18"/>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8"/>
                <w:szCs w:val="18"/>
              </w:rPr>
            </w:pP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8"/>
                <w:szCs w:val="18"/>
              </w:rPr>
            </w:pPr>
            <w:r>
              <w:rPr>
                <w:rFonts w:cs="Arial"/>
                <w:sz w:val="18"/>
                <w:szCs w:val="18"/>
                <w:lang w:eastAsia="es-EC"/>
              </w:rPr>
              <w:t>Consolidation de la gestion informatisée des ressources humaines</w:t>
            </w:r>
          </w:p>
        </w:tc>
        <w:tc>
          <w:tcPr>
            <w:tcW w:w="851"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jc w:val="center"/>
              <w:rPr>
                <w:rFonts w:cs="Arial"/>
                <w:color w:val="0070C0"/>
                <w:sz w:val="18"/>
                <w:szCs w:val="18"/>
                <w:highlight w:val="blue"/>
              </w:rPr>
            </w:pPr>
          </w:p>
        </w:tc>
        <w:tc>
          <w:tcPr>
            <w:tcW w:w="851" w:type="dxa"/>
            <w:tcBorders>
              <w:top w:val="single" w:sz="4" w:space="0" w:color="auto"/>
              <w:left w:val="single" w:sz="4" w:space="0" w:color="auto"/>
              <w:bottom w:val="single" w:sz="4" w:space="0" w:color="auto"/>
              <w:right w:val="single" w:sz="4" w:space="0" w:color="auto"/>
            </w:tcBorders>
            <w:hideMark/>
          </w:tcPr>
          <w:p w:rsidR="0055535A" w:rsidRDefault="0055535A">
            <w:pPr>
              <w:pStyle w:val="Pieddepage"/>
              <w:keepNext/>
              <w:spacing w:before="120"/>
              <w:rPr>
                <w:rFonts w:cs="Arial"/>
                <w:sz w:val="18"/>
                <w:szCs w:val="18"/>
              </w:rPr>
            </w:pPr>
            <w:r>
              <w:rPr>
                <w:rFonts w:cs="Arial"/>
                <w:sz w:val="18"/>
                <w:szCs w:val="18"/>
              </w:rPr>
              <w:t>X</w:t>
            </w:r>
          </w:p>
        </w:tc>
      </w:tr>
      <w:tr w:rsidR="0055535A" w:rsidTr="0055535A">
        <w:trPr>
          <w:trHeight w:val="310"/>
        </w:trPr>
        <w:tc>
          <w:tcPr>
            <w:tcW w:w="6519"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autoSpaceDE w:val="0"/>
              <w:autoSpaceDN w:val="0"/>
              <w:adjustRightInd w:val="0"/>
              <w:rPr>
                <w:rFonts w:cs="Arial"/>
                <w:sz w:val="18"/>
                <w:szCs w:val="18"/>
              </w:rPr>
            </w:pPr>
            <w:r>
              <w:rPr>
                <w:rFonts w:cs="Arial"/>
                <w:sz w:val="18"/>
                <w:szCs w:val="18"/>
                <w:lang w:eastAsia="es-EC"/>
              </w:rPr>
              <w:t>Consolidation des acquis de la réforme des formations paramédicales</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pStyle w:val="Pieddepage"/>
              <w:keepNext/>
              <w:spacing w:before="120"/>
              <w:jc w:val="center"/>
              <w:rPr>
                <w:rFonts w:cs="Arial"/>
                <w:sz w:val="18"/>
                <w:szCs w:val="18"/>
              </w:rPr>
            </w:pPr>
            <w:r>
              <w:rPr>
                <w:rFonts w:cs="Arial"/>
                <w:sz w:val="18"/>
                <w:szCs w:val="18"/>
              </w:rPr>
              <w:t>x</w:t>
            </w:r>
          </w:p>
        </w:tc>
        <w:tc>
          <w:tcPr>
            <w:tcW w:w="850" w:type="dxa"/>
            <w:tcBorders>
              <w:top w:val="single" w:sz="4" w:space="0" w:color="auto"/>
              <w:left w:val="single" w:sz="4" w:space="0" w:color="auto"/>
              <w:bottom w:val="single" w:sz="4" w:space="0" w:color="auto"/>
              <w:right w:val="single" w:sz="4" w:space="0" w:color="auto"/>
            </w:tcBorders>
            <w:vAlign w:val="center"/>
          </w:tcPr>
          <w:p w:rsidR="0055535A" w:rsidRDefault="0055535A">
            <w:pPr>
              <w:pStyle w:val="Pieddepage"/>
              <w:keepNext/>
              <w:spacing w:before="120"/>
              <w:jc w:val="center"/>
              <w:rPr>
                <w:rFonts w:cs="Arial"/>
                <w:sz w:val="18"/>
                <w:szCs w:val="18"/>
              </w:rPr>
            </w:pPr>
          </w:p>
        </w:tc>
        <w:tc>
          <w:tcPr>
            <w:tcW w:w="709"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jc w:val="center"/>
              <w:rPr>
                <w:rFonts w:cs="Arial"/>
                <w:color w:val="0070C0"/>
                <w:sz w:val="18"/>
                <w:szCs w:val="18"/>
                <w:highlight w:val="blue"/>
              </w:rPr>
            </w:pPr>
          </w:p>
        </w:tc>
        <w:tc>
          <w:tcPr>
            <w:tcW w:w="851" w:type="dxa"/>
            <w:tcBorders>
              <w:top w:val="single" w:sz="4" w:space="0" w:color="auto"/>
              <w:left w:val="single" w:sz="4" w:space="0" w:color="auto"/>
              <w:bottom w:val="single" w:sz="4" w:space="0" w:color="auto"/>
              <w:right w:val="single" w:sz="4" w:space="0" w:color="auto"/>
            </w:tcBorders>
          </w:tcPr>
          <w:p w:rsidR="0055535A" w:rsidRDefault="0055535A">
            <w:pPr>
              <w:pStyle w:val="Pieddepage"/>
              <w:keepNext/>
              <w:spacing w:before="120"/>
              <w:rPr>
                <w:rFonts w:cs="Arial"/>
                <w:sz w:val="18"/>
                <w:szCs w:val="18"/>
              </w:rPr>
            </w:pPr>
          </w:p>
        </w:tc>
      </w:tr>
    </w:tbl>
    <w:p w:rsidR="0055535A" w:rsidRDefault="0055535A" w:rsidP="0055535A">
      <w:pPr>
        <w:pStyle w:val="Index"/>
        <w:suppressLineNumbers w:val="0"/>
        <w:rPr>
          <w:rFonts w:cs="Arial"/>
          <w:sz w:val="20"/>
          <w:szCs w:val="20"/>
        </w:rPr>
      </w:pPr>
    </w:p>
    <w:p w:rsidR="0055535A" w:rsidRDefault="0055535A" w:rsidP="0055535A">
      <w:pPr>
        <w:pStyle w:val="Index"/>
        <w:suppressLineNumbers w:val="0"/>
        <w:rPr>
          <w:rFonts w:cs="Arial"/>
          <w:sz w:val="20"/>
          <w:szCs w:val="20"/>
        </w:rPr>
      </w:pPr>
    </w:p>
    <w:p w:rsidR="0055535A" w:rsidRDefault="0055535A" w:rsidP="0055535A">
      <w:pPr>
        <w:pStyle w:val="Index"/>
        <w:suppressLineNumbers w:val="0"/>
        <w:rPr>
          <w:rFonts w:cs="Arial"/>
          <w:sz w:val="20"/>
          <w:szCs w:val="20"/>
        </w:rPr>
      </w:pPr>
    </w:p>
    <w:p w:rsidR="0055535A" w:rsidRDefault="0055535A" w:rsidP="0055535A">
      <w:pPr>
        <w:pStyle w:val="Index"/>
        <w:suppressLineNumbers w:val="0"/>
        <w:rPr>
          <w:rFonts w:cs="Arial"/>
          <w:sz w:val="20"/>
          <w:szCs w:val="20"/>
        </w:rPr>
      </w:pPr>
    </w:p>
    <w:p w:rsidR="00622ABB" w:rsidRDefault="00622ABB" w:rsidP="0055535A">
      <w:pPr>
        <w:pStyle w:val="Index"/>
        <w:suppressLineNumbers w:val="0"/>
        <w:rPr>
          <w:rFonts w:cs="Arial"/>
          <w:sz w:val="20"/>
          <w:szCs w:val="20"/>
        </w:rPr>
      </w:pPr>
    </w:p>
    <w:p w:rsidR="00622ABB" w:rsidRDefault="00622ABB" w:rsidP="0055535A">
      <w:pPr>
        <w:pStyle w:val="Index"/>
        <w:suppressLineNumbers w:val="0"/>
        <w:rPr>
          <w:rFonts w:cs="Arial"/>
          <w:sz w:val="20"/>
          <w:szCs w:val="20"/>
        </w:rPr>
      </w:pPr>
    </w:p>
    <w:p w:rsidR="00622ABB" w:rsidRDefault="00622ABB" w:rsidP="0055535A">
      <w:pPr>
        <w:pStyle w:val="Index"/>
        <w:suppressLineNumbers w:val="0"/>
        <w:rPr>
          <w:rFonts w:cs="Arial"/>
          <w:sz w:val="20"/>
          <w:szCs w:val="20"/>
        </w:rPr>
      </w:pPr>
    </w:p>
    <w:p w:rsidR="0055535A" w:rsidRDefault="0055535A" w:rsidP="0055535A">
      <w:pPr>
        <w:pStyle w:val="Index"/>
        <w:suppressLineNumbers w:val="0"/>
        <w:rPr>
          <w:rFonts w:cs="Arial"/>
          <w:sz w:val="20"/>
          <w:szCs w:val="20"/>
        </w:rPr>
      </w:pPr>
    </w:p>
    <w:p w:rsidR="0055535A" w:rsidRDefault="0055535A" w:rsidP="0055535A">
      <w:pPr>
        <w:pStyle w:val="Titre3"/>
        <w:ind w:left="1418"/>
        <w:rPr>
          <w:sz w:val="24"/>
        </w:rPr>
      </w:pPr>
      <w:bookmarkStart w:id="152" w:name="_Toc475972201"/>
      <w:r>
        <w:t>Analyse des progrès réalisés</w:t>
      </w:r>
      <w:bookmarkEnd w:id="152"/>
    </w:p>
    <w:p w:rsidR="0055535A" w:rsidRDefault="0055535A" w:rsidP="0055535A">
      <w:pPr>
        <w:jc w:val="both"/>
        <w:rPr>
          <w:rFonts w:cs="Arial"/>
          <w:sz w:val="20"/>
          <w:szCs w:val="20"/>
        </w:rPr>
      </w:pPr>
      <w:r>
        <w:rPr>
          <w:rFonts w:cs="Arial"/>
          <w:sz w:val="20"/>
          <w:szCs w:val="20"/>
        </w:rPr>
        <w:t xml:space="preserve">Le niveau actuel de mise en application des normes en ressources humaines dans les CDS est passé de 54% en 2015 à 69% en 2016 et dans les hôpitaux de district de 10 à 24%. </w:t>
      </w:r>
    </w:p>
    <w:p w:rsidR="0055535A" w:rsidRDefault="0055535A" w:rsidP="0055535A">
      <w:pPr>
        <w:jc w:val="both"/>
        <w:rPr>
          <w:rFonts w:cs="Arial"/>
          <w:sz w:val="20"/>
          <w:szCs w:val="20"/>
        </w:rPr>
      </w:pPr>
    </w:p>
    <w:p w:rsidR="0055535A" w:rsidRDefault="0055535A" w:rsidP="0055535A">
      <w:pPr>
        <w:jc w:val="both"/>
        <w:rPr>
          <w:rFonts w:cs="Arial"/>
          <w:sz w:val="20"/>
          <w:szCs w:val="20"/>
        </w:rPr>
      </w:pPr>
      <w:r>
        <w:rPr>
          <w:rFonts w:cs="Arial"/>
          <w:sz w:val="20"/>
          <w:szCs w:val="20"/>
        </w:rPr>
        <w:t xml:space="preserve">Les premiers plans de formations ont été élaborés en 2015 dans la zone d’intervention avec l’appui des ATI et ATN (volet 1-2) et l’élaboration s’est poursuivie dans les autres provinces avec l’appui de l’ATN–RH. Les limites du budget ont fait que cette activité a cessé à partir de décembre. </w:t>
      </w:r>
    </w:p>
    <w:p w:rsidR="0055535A" w:rsidRDefault="0055535A" w:rsidP="0055535A">
      <w:pPr>
        <w:jc w:val="both"/>
        <w:rPr>
          <w:rFonts w:cs="Arial"/>
          <w:sz w:val="20"/>
          <w:szCs w:val="20"/>
        </w:rPr>
      </w:pPr>
      <w:r>
        <w:rPr>
          <w:rFonts w:cs="Arial"/>
          <w:sz w:val="20"/>
          <w:szCs w:val="20"/>
        </w:rPr>
        <w:t>Les formations suivant les plans intégrant les programmes ont commencé en 2016 expliquant ainsi le niveau atteint en 2016 qui passe de 0% en 2015 à 30% en 2016</w:t>
      </w:r>
    </w:p>
    <w:p w:rsidR="0055535A" w:rsidRDefault="0055535A" w:rsidP="0055535A">
      <w:pPr>
        <w:jc w:val="both"/>
        <w:rPr>
          <w:rFonts w:cs="Arial"/>
          <w:sz w:val="20"/>
          <w:szCs w:val="20"/>
        </w:rPr>
      </w:pPr>
    </w:p>
    <w:p w:rsidR="0055535A" w:rsidRDefault="0055535A" w:rsidP="0055535A">
      <w:pPr>
        <w:jc w:val="both"/>
        <w:rPr>
          <w:rFonts w:cs="Arial"/>
          <w:sz w:val="20"/>
          <w:szCs w:val="20"/>
        </w:rPr>
      </w:pPr>
      <w:r>
        <w:rPr>
          <w:rFonts w:cs="Arial"/>
          <w:sz w:val="20"/>
          <w:szCs w:val="20"/>
        </w:rPr>
        <w:t xml:space="preserve">Les effectifs des élèves dans les EPM ont diminué suite au respect des normes dans la plupart des écoles de formation paramédicale passant de 6923 en 2015 à 6631 en 2016. </w:t>
      </w:r>
    </w:p>
    <w:p w:rsidR="0055535A" w:rsidRDefault="0055535A" w:rsidP="0055535A">
      <w:pPr>
        <w:jc w:val="both"/>
        <w:rPr>
          <w:rFonts w:cs="Arial"/>
          <w:sz w:val="20"/>
          <w:szCs w:val="20"/>
        </w:rPr>
      </w:pPr>
    </w:p>
    <w:p w:rsidR="0055535A" w:rsidRDefault="0055535A" w:rsidP="0055535A">
      <w:pPr>
        <w:jc w:val="both"/>
        <w:rPr>
          <w:rFonts w:cs="Arial"/>
          <w:sz w:val="20"/>
          <w:szCs w:val="20"/>
        </w:rPr>
      </w:pPr>
      <w:r>
        <w:rPr>
          <w:rFonts w:cs="Arial"/>
          <w:sz w:val="20"/>
          <w:szCs w:val="20"/>
        </w:rPr>
        <w:t>Le faible taux de réalisation des contrôles de qualité est lié aux changements intervenus à la tête de la DRH et de l’IGSS. Les contrôlés de qualité se faisaient en équipe (DRH, IGSS, inspection générale de l’éducation) et ces changements ont affecté le bon déroulement de cette activité (15 contrôles sur 42 prévus).</w:t>
      </w:r>
    </w:p>
    <w:p w:rsidR="0055535A" w:rsidRDefault="0055535A" w:rsidP="0055535A">
      <w:pPr>
        <w:jc w:val="both"/>
        <w:rPr>
          <w:rFonts w:cs="Arial"/>
          <w:sz w:val="20"/>
          <w:szCs w:val="20"/>
        </w:rPr>
      </w:pPr>
    </w:p>
    <w:p w:rsidR="0055535A" w:rsidRDefault="0055535A" w:rsidP="0055535A">
      <w:pPr>
        <w:rPr>
          <w:rFonts w:cs="Arial"/>
          <w:sz w:val="20"/>
          <w:szCs w:val="20"/>
        </w:rPr>
      </w:pPr>
      <w:r>
        <w:rPr>
          <w:rFonts w:cs="Arial"/>
          <w:sz w:val="20"/>
          <w:szCs w:val="20"/>
        </w:rPr>
        <w:t xml:space="preserve">Le nombre d’élevés sur terrains de stage reste élevé (moyenne de 22 par service) suite à la présence sur ces mêmes lieux   des autres écoles, universités et instituts privés. </w:t>
      </w:r>
    </w:p>
    <w:p w:rsidR="0055535A" w:rsidRDefault="0055535A" w:rsidP="0055535A">
      <w:pPr>
        <w:rPr>
          <w:rFonts w:cs="Arial"/>
          <w:sz w:val="20"/>
          <w:szCs w:val="20"/>
        </w:rPr>
      </w:pPr>
    </w:p>
    <w:p w:rsidR="0055535A" w:rsidRDefault="0055535A" w:rsidP="0055535A">
      <w:pPr>
        <w:rPr>
          <w:rFonts w:cs="Arial"/>
          <w:sz w:val="20"/>
          <w:szCs w:val="20"/>
        </w:rPr>
      </w:pPr>
      <w:r>
        <w:rPr>
          <w:rFonts w:cs="Arial"/>
          <w:sz w:val="20"/>
          <w:szCs w:val="20"/>
        </w:rPr>
        <w:t>Etant donné le non-paiement du PBF depuis 2015, le taux de performance du PBF n’est pas applicable.</w:t>
      </w:r>
    </w:p>
    <w:p w:rsidR="0055535A" w:rsidRDefault="0055535A" w:rsidP="0055535A">
      <w:pPr>
        <w:widowControl/>
        <w:suppressAutoHyphens w:val="0"/>
        <w:rPr>
          <w:rFonts w:eastAsia="Arial Unicode MS"/>
          <w:b/>
          <w:bCs/>
          <w:color w:val="50B848"/>
          <w:kern w:val="28"/>
          <w:sz w:val="28"/>
          <w:szCs w:val="28"/>
        </w:rPr>
      </w:pPr>
      <w:r>
        <w:rPr>
          <w:rFonts w:eastAsia="Arial Unicode MS"/>
          <w:b/>
          <w:bCs/>
          <w:color w:val="50B848"/>
          <w:kern w:val="28"/>
          <w:sz w:val="28"/>
          <w:szCs w:val="28"/>
        </w:rPr>
        <w:br w:type="page"/>
      </w:r>
    </w:p>
    <w:p w:rsidR="0055535A" w:rsidRDefault="0055535A" w:rsidP="0055535A">
      <w:pPr>
        <w:widowControl/>
        <w:suppressAutoHyphens w:val="0"/>
        <w:rPr>
          <w:rFonts w:eastAsia="Arial Unicode MS"/>
          <w:b/>
          <w:bCs/>
          <w:color w:val="50B848"/>
          <w:kern w:val="28"/>
          <w:sz w:val="28"/>
          <w:szCs w:val="28"/>
        </w:rPr>
      </w:pPr>
    </w:p>
    <w:p w:rsidR="0055535A" w:rsidRDefault="0055535A" w:rsidP="0055535A">
      <w:pPr>
        <w:pStyle w:val="Titre2"/>
        <w:numPr>
          <w:ilvl w:val="1"/>
          <w:numId w:val="16"/>
        </w:numPr>
        <w:tabs>
          <w:tab w:val="clear" w:pos="3978"/>
          <w:tab w:val="num" w:pos="576"/>
        </w:tabs>
        <w:ind w:left="576"/>
        <w:rPr>
          <w:rStyle w:val="Titre2Car"/>
          <w:rFonts w:cs="Arial"/>
        </w:rPr>
      </w:pPr>
      <w:bookmarkStart w:id="153" w:name="_Toc475972202"/>
      <w:r>
        <w:rPr>
          <w:rStyle w:val="Titre2Car"/>
          <w:rFonts w:cs="Arial"/>
        </w:rPr>
        <w:t>Thèmes transversaux</w:t>
      </w:r>
      <w:bookmarkEnd w:id="108"/>
      <w:bookmarkEnd w:id="109"/>
      <w:bookmarkEnd w:id="110"/>
      <w:bookmarkEnd w:id="111"/>
      <w:bookmarkEnd w:id="153"/>
    </w:p>
    <w:p w:rsidR="0055535A" w:rsidRDefault="0055535A" w:rsidP="0055535A">
      <w:pPr>
        <w:pStyle w:val="Titre3"/>
        <w:numPr>
          <w:ilvl w:val="2"/>
          <w:numId w:val="16"/>
        </w:numPr>
        <w:rPr>
          <w:sz w:val="24"/>
        </w:rPr>
      </w:pPr>
      <w:bookmarkStart w:id="154" w:name="_Toc475972203"/>
      <w:bookmarkStart w:id="155" w:name="_Toc411938877"/>
      <w:bookmarkStart w:id="156" w:name="_Toc370814286"/>
      <w:bookmarkStart w:id="157" w:name="_Toc370814210"/>
      <w:bookmarkStart w:id="158" w:name="_Toc305765870"/>
      <w:r>
        <w:t>Genre</w:t>
      </w:r>
      <w:bookmarkEnd w:id="154"/>
      <w:r>
        <w:t xml:space="preserve"> </w:t>
      </w:r>
    </w:p>
    <w:p w:rsidR="0055535A" w:rsidRDefault="0055535A" w:rsidP="0055535A">
      <w:pPr>
        <w:jc w:val="both"/>
        <w:rPr>
          <w:rFonts w:cs="Arial"/>
          <w:sz w:val="20"/>
          <w:szCs w:val="20"/>
        </w:rPr>
      </w:pPr>
      <w:r>
        <w:rPr>
          <w:rFonts w:cs="Arial"/>
          <w:sz w:val="20"/>
          <w:szCs w:val="20"/>
        </w:rPr>
        <w:t xml:space="preserve">Le PAISS reste attentif à la prise en compte de l'approche genre et aux objectifs qui promeuvent l’égalité des droits, ainsi qu’un partage équitable des ressources et responsabilités entre les femmes et les hommes. </w:t>
      </w:r>
    </w:p>
    <w:p w:rsidR="0055535A" w:rsidRDefault="0055535A" w:rsidP="0055535A">
      <w:pPr>
        <w:jc w:val="both"/>
        <w:rPr>
          <w:rFonts w:cs="Arial"/>
          <w:sz w:val="20"/>
          <w:szCs w:val="20"/>
        </w:rPr>
      </w:pPr>
      <w:r>
        <w:rPr>
          <w:rFonts w:cs="Arial"/>
          <w:sz w:val="20"/>
          <w:szCs w:val="20"/>
        </w:rPr>
        <w:t> </w:t>
      </w:r>
    </w:p>
    <w:p w:rsidR="0055535A" w:rsidRDefault="0055535A" w:rsidP="0055535A">
      <w:pPr>
        <w:jc w:val="both"/>
        <w:rPr>
          <w:rFonts w:cs="Arial"/>
          <w:sz w:val="20"/>
          <w:szCs w:val="20"/>
        </w:rPr>
      </w:pPr>
      <w:r>
        <w:rPr>
          <w:rFonts w:cs="Arial"/>
          <w:sz w:val="20"/>
          <w:szCs w:val="20"/>
        </w:rPr>
        <w:t>Par exemple, lors de la formation des Comités de Santé (CoSa) dans ses provinces d’intervention, il s’assure que les femmes soient autant représentées que les hommes. La parité des sexes au sein des membres des CoSa est d’ailleurs demandée expressément par le niveau central.</w:t>
      </w:r>
    </w:p>
    <w:p w:rsidR="0055535A" w:rsidRDefault="0055535A" w:rsidP="0055535A">
      <w:pPr>
        <w:jc w:val="both"/>
        <w:rPr>
          <w:rFonts w:cs="Arial"/>
          <w:sz w:val="20"/>
          <w:szCs w:val="20"/>
        </w:rPr>
      </w:pPr>
      <w:r>
        <w:rPr>
          <w:rFonts w:cs="Arial"/>
          <w:sz w:val="20"/>
          <w:szCs w:val="20"/>
        </w:rPr>
        <w:t> </w:t>
      </w:r>
    </w:p>
    <w:p w:rsidR="0055535A" w:rsidRDefault="0055535A" w:rsidP="0055535A">
      <w:pPr>
        <w:jc w:val="both"/>
        <w:rPr>
          <w:rFonts w:cs="Arial"/>
          <w:sz w:val="20"/>
          <w:szCs w:val="20"/>
        </w:rPr>
      </w:pPr>
      <w:r>
        <w:rPr>
          <w:rFonts w:cs="Arial"/>
          <w:sz w:val="20"/>
          <w:szCs w:val="20"/>
        </w:rPr>
        <w:t>De plus, dans les écoles paramédicales publiques, les filles bénéficient d’une discrimination positive lors du recrutement en devant atteindre une moyenne moindre que les garçons pour être sélectionnées.</w:t>
      </w:r>
    </w:p>
    <w:p w:rsidR="0055535A" w:rsidRDefault="0055535A" w:rsidP="0055535A">
      <w:pPr>
        <w:jc w:val="both"/>
        <w:rPr>
          <w:rFonts w:cs="Arial"/>
          <w:sz w:val="20"/>
          <w:szCs w:val="20"/>
        </w:rPr>
      </w:pPr>
      <w:r>
        <w:rPr>
          <w:rFonts w:cs="Arial"/>
          <w:sz w:val="20"/>
          <w:szCs w:val="20"/>
        </w:rPr>
        <w:t> </w:t>
      </w:r>
    </w:p>
    <w:p w:rsidR="0055535A" w:rsidRDefault="0055535A" w:rsidP="0055535A">
      <w:pPr>
        <w:jc w:val="both"/>
        <w:rPr>
          <w:rFonts w:cs="Arial"/>
          <w:sz w:val="20"/>
          <w:szCs w:val="20"/>
        </w:rPr>
      </w:pPr>
      <w:r>
        <w:rPr>
          <w:rFonts w:cs="Arial"/>
          <w:sz w:val="20"/>
          <w:szCs w:val="20"/>
        </w:rPr>
        <w:t>Par ailleurs, les marchés de maitrise d'œuvre du PAISS, permettent un processus de concertation afin de créer un environnement social plus favorable à l'égalité du genre. Cela se traduit par une démarche de programmation concertée avec les différents futurs usagers et utilisateurs, promouvant davantage l’intégration des femmes dans la définition des besoins et contraintes à prendre en compte lors de la conception des bâtiments.</w:t>
      </w:r>
    </w:p>
    <w:p w:rsidR="0055535A" w:rsidRDefault="0055535A" w:rsidP="0055535A">
      <w:pPr>
        <w:jc w:val="both"/>
        <w:rPr>
          <w:rFonts w:cs="Arial"/>
          <w:sz w:val="20"/>
          <w:szCs w:val="20"/>
        </w:rPr>
      </w:pPr>
      <w:r>
        <w:rPr>
          <w:rFonts w:cs="Arial"/>
          <w:sz w:val="20"/>
          <w:szCs w:val="20"/>
        </w:rPr>
        <w:t>Par ailleurs, les métiers de chantier apparaissent très inaccessibles aux femmes eu égard à leur caractère de pénibilité, mais force est de constater qu'elles sont présentes pour les tâches de manœuvres. Dans le cadre des travaux qui se sont déroulés en 2016, on notera que le canevas de journal de chantier intègre une analyse sexo spécifique des journaliers engagés par les entreprises permettant d'encourager le recrutement de femmes.</w:t>
      </w:r>
    </w:p>
    <w:p w:rsidR="0055535A" w:rsidRDefault="0055535A" w:rsidP="0055535A">
      <w:pPr>
        <w:jc w:val="both"/>
        <w:rPr>
          <w:sz w:val="20"/>
          <w:szCs w:val="20"/>
        </w:rPr>
      </w:pPr>
    </w:p>
    <w:p w:rsidR="0055535A" w:rsidRDefault="0055535A" w:rsidP="0055535A">
      <w:pPr>
        <w:pStyle w:val="Titre3"/>
        <w:numPr>
          <w:ilvl w:val="2"/>
          <w:numId w:val="16"/>
        </w:numPr>
        <w:rPr>
          <w:sz w:val="24"/>
        </w:rPr>
      </w:pPr>
      <w:bookmarkStart w:id="159" w:name="_Toc475972204"/>
      <w:r>
        <w:t>Environnement</w:t>
      </w:r>
      <w:bookmarkEnd w:id="159"/>
      <w:r>
        <w:t xml:space="preserve"> </w:t>
      </w:r>
    </w:p>
    <w:p w:rsidR="0055535A" w:rsidRDefault="0055535A" w:rsidP="0055535A">
      <w:pPr>
        <w:jc w:val="both"/>
        <w:rPr>
          <w:rFonts w:cs="Arial"/>
          <w:sz w:val="20"/>
          <w:szCs w:val="20"/>
        </w:rPr>
      </w:pPr>
      <w:r>
        <w:rPr>
          <w:rFonts w:cs="Arial"/>
          <w:sz w:val="20"/>
          <w:szCs w:val="20"/>
        </w:rPr>
        <w:t>L'intégration de la prise en compte de l'environnement s'est fait au travers d'un bon nombre d'activités mises en œuvre par le programme.</w:t>
      </w:r>
    </w:p>
    <w:p w:rsidR="0055535A" w:rsidRDefault="0055535A" w:rsidP="0055535A">
      <w:pPr>
        <w:jc w:val="both"/>
        <w:rPr>
          <w:rFonts w:cs="Arial"/>
          <w:sz w:val="20"/>
          <w:szCs w:val="20"/>
        </w:rPr>
      </w:pPr>
    </w:p>
    <w:p w:rsidR="0055535A" w:rsidRDefault="0055535A" w:rsidP="0055535A">
      <w:pPr>
        <w:jc w:val="both"/>
        <w:rPr>
          <w:rFonts w:cs="Arial"/>
          <w:sz w:val="20"/>
          <w:szCs w:val="20"/>
        </w:rPr>
      </w:pPr>
      <w:r>
        <w:rPr>
          <w:rFonts w:cs="Arial"/>
          <w:sz w:val="20"/>
          <w:szCs w:val="20"/>
        </w:rPr>
        <w:t xml:space="preserve">Le PAISS favorise la prise en compte de l’environnement au travers des infrastructures réalisées en y introduisant des concepts de développement durable. Une démarche de qualité environnementale est imposée aux bureaux d’études pour tous les projets d’infrastructures du PAISS. Lors des phases de conception, le traitement et l’organisation des espaces prennent en compte l’impact du site environnant sur le bâtiment (nuisances acoustiques, pollution des sols, de l’air, de l’eau, conditions climatiques, topographie du site, ventilation, lumière, ...). </w:t>
      </w:r>
    </w:p>
    <w:p w:rsidR="0055535A" w:rsidRDefault="0055535A" w:rsidP="0055535A">
      <w:pPr>
        <w:jc w:val="both"/>
        <w:rPr>
          <w:rFonts w:cs="Arial"/>
          <w:sz w:val="20"/>
          <w:szCs w:val="20"/>
        </w:rPr>
      </w:pPr>
    </w:p>
    <w:p w:rsidR="0055535A" w:rsidRDefault="0055535A" w:rsidP="0055535A">
      <w:pPr>
        <w:jc w:val="both"/>
        <w:rPr>
          <w:rFonts w:cs="Arial"/>
          <w:sz w:val="20"/>
          <w:szCs w:val="20"/>
        </w:rPr>
      </w:pPr>
      <w:r>
        <w:rPr>
          <w:rFonts w:cs="Arial"/>
          <w:sz w:val="20"/>
          <w:szCs w:val="20"/>
        </w:rPr>
        <w:t xml:space="preserve">Des systèmes solaires photovoltaïques ont été intégrés systématiquement dans les différentes constructions réalisées en 2016 (ETAL, HD Kirundo, BDS Busoni, CDS Mukenke, HD Mukenke, BDS/BPS Muramvya) et ont été choisis comme option pour tous les hôpitaux à informatiser. Cela contribue à la préservation de l’environnement du fait de la diminution de l’utilisation des groupes électrogènes qui non seulement polluent mais aussi leur exploitation est onéreuse en terme de carburant. Cette approche a été aussi prise en compte dans les études de construction de l’HD Kiganda, du BDS Kiganda et CDS Kiganda. </w:t>
      </w:r>
    </w:p>
    <w:p w:rsidR="0055535A" w:rsidRDefault="0055535A" w:rsidP="0055535A">
      <w:pPr>
        <w:jc w:val="both"/>
        <w:rPr>
          <w:rFonts w:cs="Arial"/>
          <w:color w:val="C00000"/>
          <w:sz w:val="20"/>
          <w:szCs w:val="20"/>
        </w:rPr>
      </w:pPr>
      <w:r>
        <w:rPr>
          <w:rFonts w:cs="Arial"/>
          <w:sz w:val="20"/>
          <w:szCs w:val="20"/>
        </w:rPr>
        <w:t>De plus, le programme participe à l’effort général de la CTB de limiter son impact sur l’environnement en investissant dans du matériel informatique répondant aux critères de basse consommation énergétique et répondant aux normes écologiques les plus strictes (EnergyStar 5.0, EPEAT Gold, RoHS).</w:t>
      </w:r>
    </w:p>
    <w:p w:rsidR="0055535A" w:rsidRDefault="0055535A" w:rsidP="0055535A">
      <w:pPr>
        <w:jc w:val="both"/>
        <w:rPr>
          <w:rFonts w:cs="Arial"/>
          <w:sz w:val="20"/>
          <w:szCs w:val="20"/>
        </w:rPr>
      </w:pPr>
    </w:p>
    <w:p w:rsidR="0055535A" w:rsidRDefault="0055535A" w:rsidP="0055535A">
      <w:pPr>
        <w:pStyle w:val="Titre3"/>
        <w:numPr>
          <w:ilvl w:val="2"/>
          <w:numId w:val="16"/>
        </w:numPr>
        <w:rPr>
          <w:sz w:val="24"/>
        </w:rPr>
      </w:pPr>
      <w:bookmarkStart w:id="160" w:name="_Toc475972205"/>
      <w:r>
        <w:t>VIH / SIDA</w:t>
      </w:r>
      <w:bookmarkEnd w:id="160"/>
      <w:r>
        <w:t xml:space="preserve"> </w:t>
      </w:r>
    </w:p>
    <w:p w:rsidR="0055535A" w:rsidRDefault="0055535A" w:rsidP="0055535A">
      <w:pPr>
        <w:jc w:val="both"/>
        <w:rPr>
          <w:rFonts w:cs="Arial"/>
          <w:sz w:val="20"/>
          <w:szCs w:val="20"/>
        </w:rPr>
      </w:pPr>
      <w:r>
        <w:rPr>
          <w:rFonts w:cs="Arial"/>
          <w:sz w:val="20"/>
          <w:szCs w:val="20"/>
        </w:rPr>
        <w:t xml:space="preserve">Concrètement, le PAISS appuie les ateliers d’analyse des données au niveau décentralisé, avec une attention particulière sur les données en rapport avec la pandémie VIH. </w:t>
      </w:r>
    </w:p>
    <w:p w:rsidR="0055535A" w:rsidRDefault="0055535A" w:rsidP="0055535A">
      <w:pPr>
        <w:jc w:val="both"/>
        <w:rPr>
          <w:rFonts w:cs="Arial"/>
          <w:sz w:val="20"/>
          <w:szCs w:val="20"/>
        </w:rPr>
      </w:pPr>
      <w:r>
        <w:rPr>
          <w:rFonts w:cs="Arial"/>
          <w:sz w:val="20"/>
          <w:szCs w:val="20"/>
        </w:rPr>
        <w:t xml:space="preserve">L’appui aux visites de supervision et de suivi des plans d’action des FOSA a permis une meilleure prise en charge des patients et l’amélioration des services de prévention de la transmission mère-enfant.   </w:t>
      </w:r>
    </w:p>
    <w:p w:rsidR="0055535A" w:rsidRDefault="0055535A" w:rsidP="0055535A">
      <w:pPr>
        <w:jc w:val="both"/>
        <w:rPr>
          <w:rFonts w:cs="Arial"/>
          <w:sz w:val="20"/>
          <w:szCs w:val="20"/>
        </w:rPr>
      </w:pPr>
      <w:r>
        <w:rPr>
          <w:rFonts w:cs="Arial"/>
          <w:sz w:val="20"/>
          <w:szCs w:val="20"/>
        </w:rPr>
        <w:t>L’intégration des indicateurs VIH/SIDA dans le SNIS permet ainsi de fournir des informations sur la pandémie du VIH/SIDA en temps réel. </w:t>
      </w:r>
    </w:p>
    <w:p w:rsidR="0055535A" w:rsidRDefault="0055535A" w:rsidP="0055535A">
      <w:pPr>
        <w:jc w:val="both"/>
        <w:rPr>
          <w:rFonts w:cs="Arial"/>
          <w:sz w:val="20"/>
          <w:szCs w:val="20"/>
        </w:rPr>
      </w:pPr>
      <w:r>
        <w:rPr>
          <w:rFonts w:cs="Arial"/>
          <w:sz w:val="20"/>
          <w:szCs w:val="20"/>
        </w:rPr>
        <w:t xml:space="preserve">Des formations sur le VIH/SIDA sont inclues dans le curriculum des écoles paramédicales. </w:t>
      </w:r>
    </w:p>
    <w:p w:rsidR="0055535A" w:rsidRDefault="0055535A" w:rsidP="0055535A">
      <w:pPr>
        <w:jc w:val="both"/>
        <w:rPr>
          <w:rFonts w:cs="Arial"/>
          <w:sz w:val="20"/>
          <w:szCs w:val="20"/>
        </w:rPr>
      </w:pPr>
    </w:p>
    <w:p w:rsidR="0055535A" w:rsidRDefault="0055535A" w:rsidP="0055535A">
      <w:pPr>
        <w:jc w:val="both"/>
        <w:rPr>
          <w:rFonts w:cs="Arial"/>
          <w:sz w:val="20"/>
          <w:szCs w:val="20"/>
        </w:rPr>
      </w:pPr>
      <w:r>
        <w:rPr>
          <w:rFonts w:cs="Arial"/>
          <w:sz w:val="20"/>
          <w:szCs w:val="20"/>
        </w:rPr>
        <w:t xml:space="preserve">Enfin, tous les entrepreneurs faisant des travaux pour le PAISS sont obligés d’avoir un point focal VIH/SIDA et d’organiser des séances de sensibilisation auprès des travailleurs (clause prévue dans les DAO). </w:t>
      </w:r>
    </w:p>
    <w:p w:rsidR="0055535A" w:rsidRDefault="0055535A" w:rsidP="0055535A">
      <w:pPr>
        <w:jc w:val="both"/>
        <w:rPr>
          <w:rFonts w:cs="Arial"/>
          <w:sz w:val="20"/>
          <w:szCs w:val="20"/>
        </w:rPr>
      </w:pPr>
      <w:r>
        <w:rPr>
          <w:rFonts w:cs="Arial"/>
          <w:sz w:val="20"/>
          <w:szCs w:val="20"/>
        </w:rPr>
        <w:t>Un des effets positifs des constructions dans le cadre du PAISS est qu'au travers du renforcement de la couverture sanitaire, le programme contribue à la lutte contre le SIDA (ex.: la construction de laboratoires favorise le dépistage, la construction de CdS avec planning familial favorise la sensibilisation et l'utilisation de préservatifs, etc.).</w:t>
      </w:r>
    </w:p>
    <w:p w:rsidR="0055535A" w:rsidRDefault="0055535A" w:rsidP="0055535A">
      <w:pPr>
        <w:jc w:val="both"/>
        <w:rPr>
          <w:rFonts w:cs="Arial"/>
          <w:sz w:val="20"/>
          <w:szCs w:val="20"/>
        </w:rPr>
      </w:pPr>
    </w:p>
    <w:bookmarkEnd w:id="155"/>
    <w:bookmarkEnd w:id="156"/>
    <w:bookmarkEnd w:id="157"/>
    <w:bookmarkEnd w:id="158"/>
    <w:p w:rsidR="0055535A" w:rsidRDefault="0055535A" w:rsidP="0055535A">
      <w:pPr>
        <w:widowControl/>
        <w:suppressAutoHyphens w:val="0"/>
        <w:snapToGrid/>
        <w:rPr>
          <w:rFonts w:eastAsia="Calibri" w:cs="Arial"/>
          <w:kern w:val="0"/>
          <w:sz w:val="20"/>
          <w:szCs w:val="20"/>
          <w:lang w:eastAsia="en-US"/>
        </w:rPr>
        <w:sectPr w:rsidR="0055535A">
          <w:type w:val="continuous"/>
          <w:pgSz w:w="11905" w:h="16837"/>
          <w:pgMar w:top="1134" w:right="1418" w:bottom="1702" w:left="2552" w:header="709" w:footer="907" w:gutter="0"/>
          <w:cols w:space="720"/>
          <w:formProt w:val="0"/>
        </w:sectPr>
      </w:pPr>
    </w:p>
    <w:p w:rsidR="0055535A" w:rsidRDefault="0055535A" w:rsidP="0055535A">
      <w:pPr>
        <w:pStyle w:val="Titre2"/>
        <w:numPr>
          <w:ilvl w:val="0"/>
          <w:numId w:val="0"/>
        </w:numPr>
        <w:tabs>
          <w:tab w:val="left" w:pos="708"/>
        </w:tabs>
        <w:ind w:left="360"/>
        <w:rPr>
          <w:color w:val="FF0000"/>
          <w:sz w:val="28"/>
        </w:rPr>
      </w:pPr>
      <w:bookmarkStart w:id="161" w:name="_Toc475972206"/>
      <w:bookmarkStart w:id="162" w:name="_Toc411938880"/>
      <w:bookmarkStart w:id="163" w:name="_Toc412020065"/>
      <w:bookmarkStart w:id="164" w:name="_Toc370814289"/>
      <w:bookmarkStart w:id="165" w:name="_Toc370814213"/>
      <w:r>
        <w:t>2.16 Gestion</w:t>
      </w:r>
      <w:bookmarkEnd w:id="85"/>
      <w:r>
        <w:t xml:space="preserve"> des risques</w:t>
      </w:r>
      <w:bookmarkEnd w:id="161"/>
      <w:bookmarkEnd w:id="162"/>
      <w:bookmarkEnd w:id="163"/>
      <w:bookmarkEnd w:id="164"/>
      <w:bookmarkEnd w:id="165"/>
      <w:r>
        <w:t xml:space="preserve"> </w:t>
      </w:r>
    </w:p>
    <w:tbl>
      <w:tblPr>
        <w:tblW w:w="14460" w:type="dxa"/>
        <w:tblInd w:w="137" w:type="dxa"/>
        <w:tblLayout w:type="fixed"/>
        <w:tblCellMar>
          <w:left w:w="70" w:type="dxa"/>
          <w:right w:w="70" w:type="dxa"/>
        </w:tblCellMar>
        <w:tblLook w:val="04A0" w:firstRow="1" w:lastRow="0" w:firstColumn="1" w:lastColumn="0" w:noHBand="0" w:noVBand="1"/>
      </w:tblPr>
      <w:tblGrid>
        <w:gridCol w:w="2269"/>
        <w:gridCol w:w="1276"/>
        <w:gridCol w:w="992"/>
        <w:gridCol w:w="1134"/>
        <w:gridCol w:w="992"/>
        <w:gridCol w:w="851"/>
        <w:gridCol w:w="2126"/>
        <w:gridCol w:w="851"/>
        <w:gridCol w:w="992"/>
        <w:gridCol w:w="2126"/>
        <w:gridCol w:w="851"/>
      </w:tblGrid>
      <w:tr w:rsidR="0055535A" w:rsidTr="0055535A">
        <w:trPr>
          <w:trHeight w:val="288"/>
        </w:trPr>
        <w:tc>
          <w:tcPr>
            <w:tcW w:w="4536" w:type="dxa"/>
            <w:gridSpan w:val="3"/>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55535A" w:rsidRDefault="0055535A">
            <w:pPr>
              <w:widowControl/>
              <w:suppressAutoHyphens w:val="0"/>
              <w:rPr>
                <w:rFonts w:ascii="Calibri" w:hAnsi="Calibri" w:cs="Arial"/>
                <w:b/>
                <w:bCs/>
                <w:color w:val="FFFFFF"/>
                <w:kern w:val="0"/>
                <w:sz w:val="22"/>
                <w:szCs w:val="22"/>
                <w:lang w:val="fr-BE" w:eastAsia="fr-BE"/>
              </w:rPr>
            </w:pPr>
            <w:r>
              <w:rPr>
                <w:rFonts w:ascii="Calibri" w:hAnsi="Calibri" w:cs="Arial"/>
                <w:b/>
                <w:bCs/>
                <w:color w:val="FFFFFF"/>
                <w:kern w:val="0"/>
                <w:sz w:val="22"/>
                <w:szCs w:val="22"/>
                <w:lang w:val="fr-BE" w:eastAsia="fr-BE"/>
              </w:rPr>
              <w:t>Identification du risque ou problème</w:t>
            </w:r>
          </w:p>
        </w:tc>
        <w:tc>
          <w:tcPr>
            <w:tcW w:w="2977" w:type="dxa"/>
            <w:gridSpan w:val="3"/>
            <w:tcBorders>
              <w:top w:val="single" w:sz="4" w:space="0" w:color="auto"/>
              <w:left w:val="nil"/>
              <w:bottom w:val="single" w:sz="4" w:space="0" w:color="auto"/>
              <w:right w:val="single" w:sz="4" w:space="0" w:color="auto"/>
            </w:tcBorders>
            <w:shd w:val="clear" w:color="auto" w:fill="C0504D"/>
            <w:noWrap/>
            <w:vAlign w:val="bottom"/>
            <w:hideMark/>
          </w:tcPr>
          <w:p w:rsidR="0055535A" w:rsidRDefault="0055535A">
            <w:pPr>
              <w:widowControl/>
              <w:suppressAutoHyphens w:val="0"/>
              <w:rPr>
                <w:rFonts w:cs="Arial"/>
                <w:b/>
                <w:bCs/>
                <w:color w:val="FFFFFF"/>
                <w:kern w:val="0"/>
                <w:sz w:val="20"/>
                <w:szCs w:val="20"/>
                <w:lang w:val="fr-BE" w:eastAsia="fr-BE"/>
              </w:rPr>
            </w:pPr>
            <w:r>
              <w:rPr>
                <w:rFonts w:cs="Arial"/>
                <w:b/>
                <w:bCs/>
                <w:color w:val="FFFFFF"/>
                <w:kern w:val="0"/>
                <w:sz w:val="20"/>
                <w:szCs w:val="20"/>
                <w:lang w:val="fr-BE" w:eastAsia="fr-BE"/>
              </w:rPr>
              <w:t>Analyse du risque ou problème</w:t>
            </w:r>
          </w:p>
        </w:tc>
        <w:tc>
          <w:tcPr>
            <w:tcW w:w="3969" w:type="dxa"/>
            <w:gridSpan w:val="3"/>
            <w:tcBorders>
              <w:top w:val="single" w:sz="4" w:space="0" w:color="auto"/>
              <w:left w:val="nil"/>
              <w:bottom w:val="single" w:sz="4" w:space="0" w:color="auto"/>
              <w:right w:val="single" w:sz="4" w:space="0" w:color="auto"/>
            </w:tcBorders>
            <w:shd w:val="clear" w:color="auto" w:fill="9BBB59"/>
            <w:noWrap/>
            <w:vAlign w:val="bottom"/>
            <w:hideMark/>
          </w:tcPr>
          <w:p w:rsidR="0055535A" w:rsidRDefault="0055535A">
            <w:pPr>
              <w:widowControl/>
              <w:suppressAutoHyphens w:val="0"/>
              <w:jc w:val="center"/>
              <w:rPr>
                <w:rFonts w:ascii="Calibri" w:hAnsi="Calibri" w:cs="Arial"/>
                <w:b/>
                <w:bCs/>
                <w:color w:val="FFFFFF"/>
                <w:kern w:val="0"/>
                <w:sz w:val="22"/>
                <w:szCs w:val="22"/>
                <w:lang w:val="fr-BE" w:eastAsia="fr-BE"/>
              </w:rPr>
            </w:pPr>
            <w:r>
              <w:rPr>
                <w:rFonts w:ascii="Calibri" w:hAnsi="Calibri" w:cs="Arial"/>
                <w:b/>
                <w:bCs/>
                <w:color w:val="FFFFFF"/>
                <w:kern w:val="0"/>
                <w:sz w:val="22"/>
                <w:szCs w:val="22"/>
                <w:lang w:val="fr-BE" w:eastAsia="fr-BE"/>
              </w:rPr>
              <w:t>Traitement du risque ou problème</w:t>
            </w:r>
          </w:p>
        </w:tc>
        <w:tc>
          <w:tcPr>
            <w:tcW w:w="2977" w:type="dxa"/>
            <w:gridSpan w:val="2"/>
            <w:tcBorders>
              <w:top w:val="single" w:sz="4" w:space="0" w:color="auto"/>
              <w:left w:val="nil"/>
              <w:bottom w:val="single" w:sz="4" w:space="0" w:color="auto"/>
              <w:right w:val="single" w:sz="4" w:space="0" w:color="auto"/>
            </w:tcBorders>
            <w:shd w:val="clear" w:color="auto" w:fill="8064A2"/>
            <w:noWrap/>
            <w:vAlign w:val="bottom"/>
            <w:hideMark/>
          </w:tcPr>
          <w:p w:rsidR="0055535A" w:rsidRDefault="0055535A">
            <w:pPr>
              <w:widowControl/>
              <w:suppressAutoHyphens w:val="0"/>
              <w:jc w:val="center"/>
              <w:rPr>
                <w:rFonts w:ascii="Calibri" w:hAnsi="Calibri" w:cs="Arial"/>
                <w:b/>
                <w:bCs/>
                <w:color w:val="FFFFFF"/>
                <w:kern w:val="0"/>
                <w:sz w:val="22"/>
                <w:szCs w:val="22"/>
                <w:lang w:val="fr-BE" w:eastAsia="fr-BE"/>
              </w:rPr>
            </w:pPr>
            <w:r>
              <w:rPr>
                <w:rFonts w:ascii="Calibri" w:hAnsi="Calibri" w:cs="Arial"/>
                <w:b/>
                <w:bCs/>
                <w:color w:val="FFFFFF"/>
                <w:kern w:val="0"/>
                <w:sz w:val="22"/>
                <w:szCs w:val="22"/>
                <w:lang w:val="fr-BE" w:eastAsia="fr-BE"/>
              </w:rPr>
              <w:t>Suivi du risque ou problème</w:t>
            </w:r>
          </w:p>
        </w:tc>
      </w:tr>
      <w:tr w:rsidR="0055535A" w:rsidTr="0055535A">
        <w:trPr>
          <w:trHeight w:val="552"/>
        </w:trPr>
        <w:tc>
          <w:tcPr>
            <w:tcW w:w="2268" w:type="dxa"/>
            <w:tcBorders>
              <w:top w:val="nil"/>
              <w:left w:val="single" w:sz="4" w:space="0" w:color="auto"/>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Description du Risque</w:t>
            </w:r>
          </w:p>
        </w:tc>
        <w:tc>
          <w:tcPr>
            <w:tcW w:w="1276"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Periode d' identification</w:t>
            </w:r>
          </w:p>
        </w:tc>
        <w:tc>
          <w:tcPr>
            <w:tcW w:w="992"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Catégorie</w:t>
            </w:r>
          </w:p>
        </w:tc>
        <w:tc>
          <w:tcPr>
            <w:tcW w:w="1134"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Probabilité</w:t>
            </w:r>
          </w:p>
        </w:tc>
        <w:tc>
          <w:tcPr>
            <w:tcW w:w="992"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Impact Potentiel</w:t>
            </w:r>
          </w:p>
        </w:tc>
        <w:tc>
          <w:tcPr>
            <w:tcW w:w="851"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Total</w:t>
            </w:r>
          </w:p>
        </w:tc>
        <w:tc>
          <w:tcPr>
            <w:tcW w:w="2126"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Action(s)</w:t>
            </w:r>
          </w:p>
        </w:tc>
        <w:tc>
          <w:tcPr>
            <w:tcW w:w="851"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Resp.</w:t>
            </w:r>
          </w:p>
        </w:tc>
        <w:tc>
          <w:tcPr>
            <w:tcW w:w="992"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Deadline</w:t>
            </w:r>
          </w:p>
        </w:tc>
        <w:tc>
          <w:tcPr>
            <w:tcW w:w="2126"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Progress</w:t>
            </w:r>
          </w:p>
        </w:tc>
        <w:tc>
          <w:tcPr>
            <w:tcW w:w="851" w:type="dxa"/>
            <w:tcBorders>
              <w:top w:val="nil"/>
              <w:left w:val="nil"/>
              <w:bottom w:val="single" w:sz="4" w:space="0" w:color="auto"/>
              <w:right w:val="single" w:sz="4" w:space="0" w:color="auto"/>
            </w:tcBorders>
            <w:shd w:val="clear" w:color="auto" w:fill="B8CCE4"/>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Status</w:t>
            </w:r>
          </w:p>
        </w:tc>
      </w:tr>
      <w:tr w:rsidR="0055535A" w:rsidTr="0055535A">
        <w:trPr>
          <w:trHeight w:val="1380"/>
        </w:trPr>
        <w:tc>
          <w:tcPr>
            <w:tcW w:w="2268"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PAISS n’obtient pas l’avis de non objection du siège pour l'utilisation des budgets suspendus à la pérénisation des acquis du volet 2 du PAISS-PC</w:t>
            </w:r>
          </w:p>
        </w:tc>
        <w:tc>
          <w:tcPr>
            <w:tcW w:w="1276"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Q3 2016</w:t>
            </w:r>
          </w:p>
        </w:tc>
        <w:tc>
          <w:tcPr>
            <w:tcW w:w="992" w:type="dxa"/>
            <w:vMerge w:val="restart"/>
            <w:tcBorders>
              <w:top w:val="nil"/>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DEV</w:t>
            </w:r>
          </w:p>
        </w:tc>
        <w:tc>
          <w:tcPr>
            <w:tcW w:w="1134"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992"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2126" w:type="dxa"/>
            <w:tcBorders>
              <w:top w:val="nil"/>
              <w:left w:val="nil"/>
              <w:bottom w:val="single" w:sz="4" w:space="0" w:color="auto"/>
              <w:right w:val="single" w:sz="4" w:space="0" w:color="auto"/>
            </w:tcBorders>
            <w:hideMark/>
          </w:tcPr>
          <w:p w:rsidR="0055535A" w:rsidRDefault="0055535A">
            <w:pPr>
              <w:widowControl/>
              <w:suppressAutoHyphens w:val="0"/>
              <w:spacing w:after="240"/>
              <w:rPr>
                <w:rFonts w:ascii="Calibri" w:hAnsi="Calibri" w:cs="Arial"/>
                <w:kern w:val="0"/>
                <w:sz w:val="20"/>
                <w:szCs w:val="20"/>
                <w:lang w:val="fr-BE" w:eastAsia="fr-BE"/>
              </w:rPr>
            </w:pPr>
            <w:r>
              <w:rPr>
                <w:rFonts w:ascii="Calibri" w:hAnsi="Calibri" w:cs="Arial"/>
                <w:kern w:val="0"/>
                <w:sz w:val="20"/>
                <w:szCs w:val="20"/>
                <w:lang w:val="fr-BE" w:eastAsia="fr-BE"/>
              </w:rPr>
              <w:t>Plaidoyer  auprès de la RR, de l’AmbaBel et du siège</w:t>
            </w:r>
            <w:r>
              <w:rPr>
                <w:rFonts w:ascii="Calibri" w:hAnsi="Calibri" w:cs="Arial"/>
                <w:kern w:val="0"/>
                <w:sz w:val="20"/>
                <w:szCs w:val="20"/>
                <w:lang w:val="fr-BE" w:eastAsia="fr-BE"/>
              </w:rPr>
              <w:br/>
            </w:r>
          </w:p>
        </w:tc>
        <w:tc>
          <w:tcPr>
            <w:tcW w:w="851"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Coord</w:t>
            </w:r>
          </w:p>
        </w:tc>
        <w:tc>
          <w:tcPr>
            <w:tcW w:w="992"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2126"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Un draft de projet a été proposé avec le backstopping de septembre 2016</w:t>
            </w:r>
          </w:p>
        </w:tc>
        <w:tc>
          <w:tcPr>
            <w:tcW w:w="851" w:type="dxa"/>
            <w:vMerge w:val="restart"/>
            <w:tcBorders>
              <w:top w:val="nil"/>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r w:rsidR="0055535A" w:rsidTr="0055535A">
        <w:trPr>
          <w:trHeight w:val="276"/>
        </w:trPr>
        <w:tc>
          <w:tcPr>
            <w:tcW w:w="453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126" w:type="dxa"/>
            <w:tcBorders>
              <w:top w:val="nil"/>
              <w:left w:val="nil"/>
              <w:bottom w:val="single" w:sz="4" w:space="0" w:color="auto"/>
              <w:right w:val="single" w:sz="4" w:space="0" w:color="auto"/>
            </w:tcBorders>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Plaidoyer auprès du MSPLS</w:t>
            </w:r>
          </w:p>
        </w:tc>
        <w:tc>
          <w:tcPr>
            <w:tcW w:w="851" w:type="dxa"/>
            <w:tcBorders>
              <w:top w:val="nil"/>
              <w:left w:val="nil"/>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Coord</w:t>
            </w:r>
          </w:p>
        </w:tc>
        <w:tc>
          <w:tcPr>
            <w:tcW w:w="992"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2268"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Risque lié à la mauvaise gestion des fonds octroyés aux formations sanitaires (dans le cadre des Conventions des subsides et du FBP)</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Q2 2012</w:t>
            </w:r>
          </w:p>
        </w:tc>
        <w:tc>
          <w:tcPr>
            <w:tcW w:w="992" w:type="dxa"/>
            <w:vMerge w:val="restart"/>
            <w:tcBorders>
              <w:top w:val="single" w:sz="4" w:space="0" w:color="auto"/>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FIN</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Low</w:t>
            </w:r>
          </w:p>
        </w:tc>
        <w:tc>
          <w:tcPr>
            <w:tcW w:w="851" w:type="dxa"/>
            <w:vMerge w:val="restart"/>
            <w:tcBorders>
              <w:top w:val="single" w:sz="4" w:space="0" w:color="auto"/>
              <w:left w:val="single" w:sz="4" w:space="0" w:color="auto"/>
              <w:bottom w:val="nil"/>
              <w:right w:val="single" w:sz="4" w:space="0" w:color="auto"/>
            </w:tcBorders>
            <w:shd w:val="clear" w:color="auto" w:fill="92D05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 xml:space="preserve">Low </w:t>
            </w:r>
          </w:p>
        </w:tc>
        <w:tc>
          <w:tcPr>
            <w:tcW w:w="2126" w:type="dxa"/>
            <w:vMerge w:val="restart"/>
            <w:tcBorders>
              <w:top w:val="single" w:sz="4" w:space="0" w:color="auto"/>
              <w:left w:val="single" w:sz="4" w:space="0" w:color="auto"/>
              <w:bottom w:val="single" w:sz="4" w:space="0" w:color="000000"/>
              <w:right w:val="single" w:sz="4" w:space="0" w:color="auto"/>
            </w:tcBorders>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Anticiper pour rassembler les justificatifs et documents des FoSa</w:t>
            </w:r>
          </w:p>
        </w:tc>
        <w:tc>
          <w:tcPr>
            <w:tcW w:w="851" w:type="dxa"/>
            <w:vMerge w:val="restart"/>
            <w:tcBorders>
              <w:top w:val="single" w:sz="4" w:space="0" w:color="auto"/>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Delco</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Des missions d'appui et de contrôle sont faites par l'Unité de Gestion</w:t>
            </w:r>
          </w:p>
        </w:tc>
        <w:tc>
          <w:tcPr>
            <w:tcW w:w="851" w:type="dxa"/>
            <w:vMerge w:val="restart"/>
            <w:tcBorders>
              <w:top w:val="single" w:sz="4" w:space="0" w:color="auto"/>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r w:rsidR="0055535A" w:rsidTr="0055535A">
        <w:trPr>
          <w:trHeight w:val="276"/>
        </w:trPr>
        <w:tc>
          <w:tcPr>
            <w:tcW w:w="4536"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828"/>
        </w:trPr>
        <w:tc>
          <w:tcPr>
            <w:tcW w:w="4536"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126" w:type="dxa"/>
            <w:tcBorders>
              <w:top w:val="nil"/>
              <w:left w:val="nil"/>
              <w:bottom w:val="single" w:sz="4" w:space="0" w:color="auto"/>
              <w:right w:val="single" w:sz="4" w:space="0" w:color="auto"/>
            </w:tcBorders>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Renforcer la gestion financière des FoSa</w:t>
            </w:r>
          </w:p>
        </w:tc>
        <w:tc>
          <w:tcPr>
            <w:tcW w:w="851" w:type="dxa"/>
            <w:tcBorders>
              <w:top w:val="nil"/>
              <w:left w:val="nil"/>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RAFi</w:t>
            </w:r>
          </w:p>
        </w:tc>
        <w:tc>
          <w:tcPr>
            <w:tcW w:w="992"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2126" w:type="dxa"/>
            <w:tcBorders>
              <w:top w:val="nil"/>
              <w:left w:val="nil"/>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Des missions d'appui et de contrôle sont faites par l'Unité de Gestion</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2268"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MSPLS ne recrute pas suffisamment de personnel pour des raisons budgétaires</w:t>
            </w:r>
          </w:p>
        </w:tc>
        <w:tc>
          <w:tcPr>
            <w:tcW w:w="1276"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Q4 2012</w:t>
            </w:r>
          </w:p>
        </w:tc>
        <w:tc>
          <w:tcPr>
            <w:tcW w:w="992" w:type="dxa"/>
            <w:vMerge w:val="restart"/>
            <w:tcBorders>
              <w:top w:val="nil"/>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DEV</w:t>
            </w:r>
          </w:p>
        </w:tc>
        <w:tc>
          <w:tcPr>
            <w:tcW w:w="1134"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High</w:t>
            </w:r>
          </w:p>
        </w:tc>
        <w:tc>
          <w:tcPr>
            <w:tcW w:w="992"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Low</w:t>
            </w:r>
          </w:p>
        </w:tc>
        <w:tc>
          <w:tcPr>
            <w:tcW w:w="851" w:type="dxa"/>
            <w:vMerge w:val="restart"/>
            <w:tcBorders>
              <w:top w:val="single" w:sz="4" w:space="0" w:color="auto"/>
              <w:left w:val="single" w:sz="4" w:space="0" w:color="auto"/>
              <w:bottom w:val="nil"/>
              <w:right w:val="single" w:sz="4" w:space="0" w:color="auto"/>
            </w:tcBorders>
            <w:shd w:val="clear" w:color="auto" w:fill="FFC00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2126" w:type="dxa"/>
            <w:tcBorders>
              <w:top w:val="nil"/>
              <w:left w:val="nil"/>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Faire le plaidoyer auprès du MSPLS</w:t>
            </w:r>
          </w:p>
        </w:tc>
        <w:tc>
          <w:tcPr>
            <w:tcW w:w="851"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RT / Delco</w:t>
            </w:r>
          </w:p>
        </w:tc>
        <w:tc>
          <w:tcPr>
            <w:tcW w:w="992"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2126" w:type="dxa"/>
            <w:tcBorders>
              <w:top w:val="nil"/>
              <w:left w:val="nil"/>
              <w:bottom w:val="single" w:sz="4" w:space="0" w:color="auto"/>
              <w:right w:val="single" w:sz="4" w:space="0" w:color="auto"/>
            </w:tcBorders>
            <w:shd w:val="clear" w:color="auto" w:fill="FFFFFF"/>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En cours</w:t>
            </w:r>
          </w:p>
        </w:tc>
        <w:tc>
          <w:tcPr>
            <w:tcW w:w="851" w:type="dxa"/>
            <w:vMerge w:val="restart"/>
            <w:tcBorders>
              <w:top w:val="nil"/>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r w:rsidR="0055535A" w:rsidTr="0055535A">
        <w:trPr>
          <w:trHeight w:val="552"/>
        </w:trPr>
        <w:tc>
          <w:tcPr>
            <w:tcW w:w="453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126" w:type="dxa"/>
            <w:tcBorders>
              <w:top w:val="nil"/>
              <w:left w:val="nil"/>
              <w:bottom w:val="single" w:sz="4" w:space="0" w:color="auto"/>
              <w:right w:val="single" w:sz="4" w:space="0" w:color="auto"/>
            </w:tcBorders>
            <w:shd w:val="clear" w:color="auto" w:fill="FFFFFF"/>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Recrutement de certains personnels clés par le programme</w:t>
            </w:r>
          </w:p>
        </w:tc>
        <w:tc>
          <w:tcPr>
            <w:tcW w:w="851" w:type="dxa"/>
            <w:tcBorders>
              <w:top w:val="nil"/>
              <w:left w:val="nil"/>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Coord / CCT</w:t>
            </w:r>
          </w:p>
        </w:tc>
        <w:tc>
          <w:tcPr>
            <w:tcW w:w="992"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2126" w:type="dxa"/>
            <w:tcBorders>
              <w:top w:val="nil"/>
              <w:left w:val="nil"/>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Recrutements ICT volet 4 et techniciens de maitenance volet 5</w:t>
            </w:r>
          </w:p>
        </w:tc>
        <w:tc>
          <w:tcPr>
            <w:tcW w:w="851"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828"/>
        </w:trPr>
        <w:tc>
          <w:tcPr>
            <w:tcW w:w="2268"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Changements fréquents des responsables au MSPLS et Fosa</w:t>
            </w:r>
          </w:p>
        </w:tc>
        <w:tc>
          <w:tcPr>
            <w:tcW w:w="1276"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Q3 2013</w:t>
            </w:r>
          </w:p>
        </w:tc>
        <w:tc>
          <w:tcPr>
            <w:tcW w:w="992" w:type="dxa"/>
            <w:vMerge w:val="restart"/>
            <w:tcBorders>
              <w:top w:val="nil"/>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OPS</w:t>
            </w:r>
          </w:p>
        </w:tc>
        <w:tc>
          <w:tcPr>
            <w:tcW w:w="1134"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High</w:t>
            </w:r>
          </w:p>
        </w:tc>
        <w:tc>
          <w:tcPr>
            <w:tcW w:w="992"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851" w:type="dxa"/>
            <w:vMerge w:val="restart"/>
            <w:tcBorders>
              <w:top w:val="single" w:sz="4" w:space="0" w:color="auto"/>
              <w:left w:val="single" w:sz="4" w:space="0" w:color="auto"/>
              <w:bottom w:val="nil"/>
              <w:right w:val="single" w:sz="4" w:space="0" w:color="auto"/>
            </w:tcBorders>
            <w:shd w:val="clear" w:color="auto" w:fill="FF000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 xml:space="preserve">High </w:t>
            </w:r>
          </w:p>
        </w:tc>
        <w:tc>
          <w:tcPr>
            <w:tcW w:w="2126" w:type="dxa"/>
            <w:tcBorders>
              <w:top w:val="nil"/>
              <w:left w:val="nil"/>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Faire le plaidoyer auprès du MSPLS pour des cas spécifiques (qui ont impact direct sur le programme)</w:t>
            </w:r>
          </w:p>
        </w:tc>
        <w:tc>
          <w:tcPr>
            <w:tcW w:w="851"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RT / Delco</w:t>
            </w:r>
          </w:p>
        </w:tc>
        <w:tc>
          <w:tcPr>
            <w:tcW w:w="992"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Q4 2017</w:t>
            </w:r>
          </w:p>
        </w:tc>
        <w:tc>
          <w:tcPr>
            <w:tcW w:w="2126" w:type="dxa"/>
            <w:tcBorders>
              <w:top w:val="nil"/>
              <w:left w:val="nil"/>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En cours</w:t>
            </w:r>
          </w:p>
        </w:tc>
        <w:tc>
          <w:tcPr>
            <w:tcW w:w="851" w:type="dxa"/>
            <w:vMerge w:val="restart"/>
            <w:tcBorders>
              <w:top w:val="nil"/>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r w:rsidR="0055535A" w:rsidTr="0055535A">
        <w:trPr>
          <w:trHeight w:val="552"/>
        </w:trPr>
        <w:tc>
          <w:tcPr>
            <w:tcW w:w="453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126" w:type="dxa"/>
            <w:tcBorders>
              <w:top w:val="nil"/>
              <w:left w:val="nil"/>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Assister à la remise-reprise du personnel clé pour le PAISS</w:t>
            </w:r>
          </w:p>
        </w:tc>
        <w:tc>
          <w:tcPr>
            <w:tcW w:w="851"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Delco</w:t>
            </w:r>
          </w:p>
        </w:tc>
        <w:tc>
          <w:tcPr>
            <w:tcW w:w="992" w:type="dxa"/>
            <w:tcBorders>
              <w:top w:val="nil"/>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Q4 2017</w:t>
            </w:r>
          </w:p>
        </w:tc>
        <w:tc>
          <w:tcPr>
            <w:tcW w:w="2126" w:type="dxa"/>
            <w:tcBorders>
              <w:top w:val="nil"/>
              <w:left w:val="nil"/>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En cours</w:t>
            </w:r>
          </w:p>
        </w:tc>
        <w:tc>
          <w:tcPr>
            <w:tcW w:w="851"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453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126" w:type="dxa"/>
            <w:tcBorders>
              <w:top w:val="nil"/>
              <w:left w:val="nil"/>
              <w:bottom w:val="single" w:sz="4" w:space="0" w:color="auto"/>
              <w:right w:val="single" w:sz="4" w:space="0" w:color="auto"/>
            </w:tcBorders>
            <w:shd w:val="clear" w:color="auto" w:fill="FFFFFF"/>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Faire le plaidoyer auprès des attachés</w:t>
            </w:r>
          </w:p>
        </w:tc>
        <w:tc>
          <w:tcPr>
            <w:tcW w:w="851" w:type="dxa"/>
            <w:tcBorders>
              <w:top w:val="nil"/>
              <w:left w:val="nil"/>
              <w:bottom w:val="single" w:sz="4" w:space="0" w:color="auto"/>
              <w:right w:val="single" w:sz="4" w:space="0" w:color="auto"/>
            </w:tcBorders>
            <w:shd w:val="clear" w:color="auto" w:fill="FFFFFF"/>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Coord</w:t>
            </w:r>
          </w:p>
        </w:tc>
        <w:tc>
          <w:tcPr>
            <w:tcW w:w="992" w:type="dxa"/>
            <w:tcBorders>
              <w:top w:val="nil"/>
              <w:left w:val="nil"/>
              <w:bottom w:val="single" w:sz="4" w:space="0" w:color="auto"/>
              <w:right w:val="single" w:sz="4" w:space="0" w:color="auto"/>
            </w:tcBorders>
            <w:shd w:val="clear" w:color="auto" w:fill="FFFFFF"/>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Q4 2017</w:t>
            </w:r>
          </w:p>
        </w:tc>
        <w:tc>
          <w:tcPr>
            <w:tcW w:w="2126" w:type="dxa"/>
            <w:tcBorders>
              <w:top w:val="nil"/>
              <w:left w:val="nil"/>
              <w:bottom w:val="single" w:sz="4" w:space="0" w:color="auto"/>
              <w:right w:val="single" w:sz="4" w:space="0" w:color="auto"/>
            </w:tcBorders>
            <w:shd w:val="clear" w:color="auto" w:fill="FFFFFF"/>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Faite</w:t>
            </w:r>
          </w:p>
        </w:tc>
        <w:tc>
          <w:tcPr>
            <w:tcW w:w="851"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2268"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Risque d'instabilité politique et d'insécurité persistante dans le pays</w:t>
            </w:r>
          </w:p>
        </w:tc>
        <w:tc>
          <w:tcPr>
            <w:tcW w:w="1276"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Q2 2015</w:t>
            </w:r>
          </w:p>
        </w:tc>
        <w:tc>
          <w:tcPr>
            <w:tcW w:w="992" w:type="dxa"/>
            <w:vMerge w:val="restart"/>
            <w:tcBorders>
              <w:top w:val="nil"/>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DEV</w:t>
            </w:r>
          </w:p>
        </w:tc>
        <w:tc>
          <w:tcPr>
            <w:tcW w:w="1134"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992"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High</w:t>
            </w:r>
          </w:p>
        </w:tc>
        <w:tc>
          <w:tcPr>
            <w:tcW w:w="851" w:type="dxa"/>
            <w:vMerge w:val="restart"/>
            <w:tcBorders>
              <w:top w:val="single" w:sz="4" w:space="0" w:color="auto"/>
              <w:left w:val="single" w:sz="4" w:space="0" w:color="auto"/>
              <w:bottom w:val="nil"/>
              <w:right w:val="single" w:sz="4" w:space="0" w:color="auto"/>
            </w:tcBorders>
            <w:shd w:val="clear" w:color="auto" w:fill="FF000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High</w:t>
            </w:r>
          </w:p>
        </w:tc>
        <w:tc>
          <w:tcPr>
            <w:tcW w:w="2126"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Développer des mécanismes d’adaptation</w:t>
            </w:r>
          </w:p>
        </w:tc>
        <w:tc>
          <w:tcPr>
            <w:tcW w:w="851"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RR</w:t>
            </w:r>
          </w:p>
        </w:tc>
        <w:tc>
          <w:tcPr>
            <w:tcW w:w="992"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Q4 2017</w:t>
            </w:r>
          </w:p>
        </w:tc>
        <w:tc>
          <w:tcPr>
            <w:tcW w:w="2126" w:type="dxa"/>
            <w:vMerge w:val="restart"/>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En cours</w:t>
            </w:r>
          </w:p>
        </w:tc>
        <w:tc>
          <w:tcPr>
            <w:tcW w:w="851" w:type="dxa"/>
            <w:vMerge w:val="restart"/>
            <w:tcBorders>
              <w:top w:val="nil"/>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r w:rsidR="0055535A" w:rsidTr="0055535A">
        <w:trPr>
          <w:trHeight w:val="276"/>
        </w:trPr>
        <w:tc>
          <w:tcPr>
            <w:tcW w:w="453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3969"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453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3969"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510"/>
        </w:trPr>
        <w:tc>
          <w:tcPr>
            <w:tcW w:w="226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Suspension appui institutionnel/ désintéressement aux activités périphériques du PAISS</w:t>
            </w:r>
          </w:p>
        </w:tc>
        <w:tc>
          <w:tcPr>
            <w:tcW w:w="1276" w:type="dxa"/>
            <w:tcBorders>
              <w:top w:val="single" w:sz="4" w:space="0" w:color="auto"/>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Q3 2016</w:t>
            </w:r>
          </w:p>
        </w:tc>
        <w:tc>
          <w:tcPr>
            <w:tcW w:w="992" w:type="dxa"/>
            <w:tcBorders>
              <w:top w:val="single" w:sz="4" w:space="0" w:color="auto"/>
              <w:left w:val="nil"/>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DEV</w:t>
            </w:r>
          </w:p>
        </w:tc>
        <w:tc>
          <w:tcPr>
            <w:tcW w:w="1134" w:type="dxa"/>
            <w:tcBorders>
              <w:top w:val="single" w:sz="4" w:space="0" w:color="auto"/>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992" w:type="dxa"/>
            <w:tcBorders>
              <w:top w:val="single" w:sz="4" w:space="0" w:color="auto"/>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High</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High</w:t>
            </w:r>
          </w:p>
        </w:tc>
        <w:tc>
          <w:tcPr>
            <w:tcW w:w="2126" w:type="dxa"/>
            <w:tcBorders>
              <w:top w:val="single" w:sz="4" w:space="0" w:color="auto"/>
              <w:left w:val="nil"/>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Travailler à la rencontre du RR avec Mme la Ministre</w:t>
            </w:r>
          </w:p>
        </w:tc>
        <w:tc>
          <w:tcPr>
            <w:tcW w:w="851" w:type="dxa"/>
            <w:tcBorders>
              <w:top w:val="single" w:sz="4" w:space="0" w:color="auto"/>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Coord</w:t>
            </w:r>
          </w:p>
        </w:tc>
        <w:tc>
          <w:tcPr>
            <w:tcW w:w="992" w:type="dxa"/>
            <w:tcBorders>
              <w:top w:val="single" w:sz="4" w:space="0" w:color="auto"/>
              <w:left w:val="nil"/>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2126" w:type="dxa"/>
            <w:tcBorders>
              <w:top w:val="nil"/>
              <w:left w:val="nil"/>
              <w:bottom w:val="single" w:sz="4" w:space="0" w:color="auto"/>
              <w:right w:val="nil"/>
            </w:tcBorders>
            <w:noWrap/>
            <w:vAlign w:val="bottom"/>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En cours</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r w:rsidR="0055535A" w:rsidTr="0055535A">
        <w:trPr>
          <w:trHeight w:val="420"/>
        </w:trPr>
        <w:tc>
          <w:tcPr>
            <w:tcW w:w="2268"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Transfert tardif de la BRB</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Q3 2016</w:t>
            </w:r>
          </w:p>
        </w:tc>
        <w:tc>
          <w:tcPr>
            <w:tcW w:w="992" w:type="dxa"/>
            <w:vMerge w:val="restart"/>
            <w:tcBorders>
              <w:top w:val="single" w:sz="4" w:space="0" w:color="auto"/>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FIN</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Low</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851" w:type="dxa"/>
            <w:vMerge w:val="restart"/>
            <w:tcBorders>
              <w:top w:val="single" w:sz="4" w:space="0" w:color="auto"/>
              <w:left w:val="single" w:sz="4" w:space="0" w:color="auto"/>
              <w:bottom w:val="nil"/>
              <w:right w:val="single" w:sz="4" w:space="0" w:color="auto"/>
            </w:tcBorders>
            <w:shd w:val="clear" w:color="auto" w:fill="92D05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Low</w:t>
            </w:r>
          </w:p>
        </w:tc>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Rester vigilant</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RAFi</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Q4 2017</w:t>
            </w:r>
          </w:p>
        </w:tc>
        <w:tc>
          <w:tcPr>
            <w:tcW w:w="2126" w:type="dxa"/>
            <w:vMerge w:val="restart"/>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En cours</w:t>
            </w:r>
          </w:p>
        </w:tc>
        <w:tc>
          <w:tcPr>
            <w:tcW w:w="851" w:type="dxa"/>
            <w:vMerge w:val="restart"/>
            <w:tcBorders>
              <w:top w:val="single" w:sz="4" w:space="0" w:color="auto"/>
              <w:left w:val="single" w:sz="4" w:space="0" w:color="auto"/>
              <w:bottom w:val="single" w:sz="4" w:space="0" w:color="000000"/>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r w:rsidR="0055535A" w:rsidTr="0055535A">
        <w:trPr>
          <w:trHeight w:val="420"/>
        </w:trPr>
        <w:tc>
          <w:tcPr>
            <w:tcW w:w="4536"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420"/>
        </w:trPr>
        <w:tc>
          <w:tcPr>
            <w:tcW w:w="4536"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3969"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2268"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Risque d'insuffisance d'énergie électrique suite à arrêt financement en avril 2017 des intrants de la centrale thermique par l'UE</w:t>
            </w:r>
          </w:p>
        </w:tc>
        <w:tc>
          <w:tcPr>
            <w:tcW w:w="1276"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992" w:type="dxa"/>
            <w:vMerge w:val="restart"/>
            <w:tcBorders>
              <w:top w:val="nil"/>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DEV</w:t>
            </w:r>
          </w:p>
        </w:tc>
        <w:tc>
          <w:tcPr>
            <w:tcW w:w="1134"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992"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851" w:type="dxa"/>
            <w:vMerge w:val="restart"/>
            <w:tcBorders>
              <w:top w:val="single" w:sz="4" w:space="0" w:color="auto"/>
              <w:left w:val="single" w:sz="4" w:space="0" w:color="auto"/>
              <w:bottom w:val="nil"/>
              <w:right w:val="single" w:sz="4" w:space="0" w:color="auto"/>
            </w:tcBorders>
            <w:shd w:val="clear" w:color="auto" w:fill="FFC00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2126"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Doter les nouveaux hôpitaux à informatiser des systèmes photovoltaïques dimensionnés pour les salles des serveurs informatiques</w:t>
            </w:r>
          </w:p>
        </w:tc>
        <w:tc>
          <w:tcPr>
            <w:tcW w:w="851"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Coord</w:t>
            </w:r>
          </w:p>
        </w:tc>
        <w:tc>
          <w:tcPr>
            <w:tcW w:w="992"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Q2 2017</w:t>
            </w:r>
          </w:p>
        </w:tc>
        <w:tc>
          <w:tcPr>
            <w:tcW w:w="2126" w:type="dxa"/>
            <w:vMerge w:val="restart"/>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Veiller à inclure ce besoin dans tous les TDR du contrat cadre</w:t>
            </w:r>
          </w:p>
        </w:tc>
        <w:tc>
          <w:tcPr>
            <w:tcW w:w="851" w:type="dxa"/>
            <w:vMerge w:val="restart"/>
            <w:tcBorders>
              <w:top w:val="nil"/>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r w:rsidR="0055535A" w:rsidTr="0055535A">
        <w:trPr>
          <w:trHeight w:val="276"/>
        </w:trPr>
        <w:tc>
          <w:tcPr>
            <w:tcW w:w="453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3969"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453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3969"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453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3969"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453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1276"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single" w:sz="4" w:space="0" w:color="auto"/>
              <w:left w:val="single" w:sz="4" w:space="0" w:color="auto"/>
              <w:bottom w:val="nil"/>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3969"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992"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2977"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c>
          <w:tcPr>
            <w:tcW w:w="851" w:type="dxa"/>
            <w:vMerge/>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snapToGrid/>
              <w:rPr>
                <w:rFonts w:ascii="Calibri" w:hAnsi="Calibri" w:cs="Arial"/>
                <w:kern w:val="0"/>
                <w:sz w:val="20"/>
                <w:szCs w:val="20"/>
                <w:lang w:val="fr-BE" w:eastAsia="fr-BE"/>
              </w:rPr>
            </w:pPr>
          </w:p>
        </w:tc>
      </w:tr>
      <w:tr w:rsidR="0055535A" w:rsidTr="0055535A">
        <w:trPr>
          <w:trHeight w:val="276"/>
        </w:trPr>
        <w:tc>
          <w:tcPr>
            <w:tcW w:w="2268" w:type="dxa"/>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 xml:space="preserve">Risque d’effritement du   pouvoir d’achat du personnel local PAISS </w:t>
            </w:r>
          </w:p>
        </w:tc>
        <w:tc>
          <w:tcPr>
            <w:tcW w:w="1276" w:type="dxa"/>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992" w:type="dxa"/>
            <w:tcBorders>
              <w:top w:val="nil"/>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FIN</w:t>
            </w:r>
          </w:p>
        </w:tc>
        <w:tc>
          <w:tcPr>
            <w:tcW w:w="1134" w:type="dxa"/>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992" w:type="dxa"/>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2126" w:type="dxa"/>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Continuer le plaidoyer auprès de la RR</w:t>
            </w:r>
          </w:p>
        </w:tc>
        <w:tc>
          <w:tcPr>
            <w:tcW w:w="851" w:type="dxa"/>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Coord</w:t>
            </w:r>
          </w:p>
        </w:tc>
        <w:tc>
          <w:tcPr>
            <w:tcW w:w="992" w:type="dxa"/>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Q4 2017</w:t>
            </w:r>
          </w:p>
        </w:tc>
        <w:tc>
          <w:tcPr>
            <w:tcW w:w="2126" w:type="dxa"/>
            <w:tcBorders>
              <w:top w:val="nil"/>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En cours</w:t>
            </w:r>
          </w:p>
        </w:tc>
        <w:tc>
          <w:tcPr>
            <w:tcW w:w="851" w:type="dxa"/>
            <w:tcBorders>
              <w:top w:val="nil"/>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r w:rsidR="0055535A" w:rsidTr="0055535A">
        <w:trPr>
          <w:trHeight w:val="276"/>
        </w:trPr>
        <w:tc>
          <w:tcPr>
            <w:tcW w:w="226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Risque de dépassement des délais d’exécution des travaux de l’HD Kiganda au-delà de la période d’exécution du volet 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DEV</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High</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85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High</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Prévoir un SMCL/CVI pour prolonger la durée d’exécution du volet 5</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RAFI</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 xml:space="preserve">Porter le point en CVI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A prévoir</w:t>
            </w:r>
          </w:p>
        </w:tc>
      </w:tr>
      <w:tr w:rsidR="0055535A" w:rsidTr="0055535A">
        <w:trPr>
          <w:trHeight w:val="276"/>
        </w:trPr>
        <w:tc>
          <w:tcPr>
            <w:tcW w:w="2268"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Retards dans la passation des marchés publics du volet 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Q1 2017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OPS</w:t>
            </w:r>
          </w:p>
        </w:tc>
        <w:tc>
          <w:tcPr>
            <w:tcW w:w="1134"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Medium</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rPr>
                <w:rFonts w:asciiTheme="minorHAnsi" w:hAnsiTheme="minorHAnsi" w:cstheme="minorHAnsi"/>
                <w:kern w:val="0"/>
                <w:sz w:val="20"/>
                <w:szCs w:val="20"/>
                <w:lang w:val="fr-BE" w:eastAsia="fr-BE"/>
              </w:rPr>
            </w:pPr>
            <w:r>
              <w:rPr>
                <w:rFonts w:asciiTheme="minorHAnsi" w:hAnsiTheme="minorHAnsi" w:cstheme="minorHAnsi"/>
                <w:sz w:val="20"/>
                <w:szCs w:val="20"/>
              </w:rPr>
              <w:t>Renforcer la cellule de gestion des marchés publics pour éviter les retards des travaux du volet5</w:t>
            </w:r>
          </w:p>
        </w:tc>
        <w:tc>
          <w:tcPr>
            <w:tcW w:w="85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RAFI</w:t>
            </w:r>
          </w:p>
        </w:tc>
        <w:tc>
          <w:tcPr>
            <w:tcW w:w="992"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Q2 2017</w:t>
            </w:r>
          </w:p>
        </w:tc>
        <w:tc>
          <w:tcPr>
            <w:tcW w:w="2126" w:type="dxa"/>
            <w:tcBorders>
              <w:top w:val="single" w:sz="4" w:space="0" w:color="auto"/>
              <w:left w:val="single" w:sz="4" w:space="0" w:color="auto"/>
              <w:bottom w:val="single" w:sz="4" w:space="0" w:color="auto"/>
              <w:right w:val="single" w:sz="4" w:space="0" w:color="auto"/>
            </w:tcBorders>
            <w:vAlign w:val="center"/>
            <w:hideMark/>
          </w:tcPr>
          <w:p w:rsidR="0055535A" w:rsidRDefault="0055535A">
            <w:pPr>
              <w:widowControl/>
              <w:suppressAutoHyphens w:val="0"/>
              <w:rPr>
                <w:rFonts w:ascii="Calibri" w:hAnsi="Calibri" w:cs="Arial"/>
                <w:kern w:val="0"/>
                <w:sz w:val="20"/>
                <w:szCs w:val="20"/>
                <w:lang w:val="fr-BE" w:eastAsia="fr-BE"/>
              </w:rPr>
            </w:pPr>
            <w:r>
              <w:rPr>
                <w:rFonts w:ascii="Calibri" w:hAnsi="Calibri" w:cs="Arial"/>
                <w:kern w:val="0"/>
                <w:sz w:val="20"/>
                <w:szCs w:val="20"/>
                <w:lang w:val="fr-BE" w:eastAsia="fr-BE"/>
              </w:rPr>
              <w:t>Reprendre certains personnels du PAISS-PC à cet effet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En cours</w:t>
            </w:r>
          </w:p>
        </w:tc>
      </w:tr>
    </w:tbl>
    <w:p w:rsidR="0055535A" w:rsidRDefault="0055535A" w:rsidP="0055535A"/>
    <w:p w:rsidR="0055535A" w:rsidRDefault="0055535A" w:rsidP="0055535A">
      <w:pPr>
        <w:widowControl/>
        <w:suppressAutoHyphens w:val="0"/>
        <w:snapToGrid/>
        <w:rPr>
          <w:snapToGrid w:val="0"/>
        </w:rPr>
        <w:sectPr w:rsidR="0055535A">
          <w:pgSz w:w="16837" w:h="11905" w:orient="landscape"/>
          <w:pgMar w:top="851" w:right="2552" w:bottom="1418" w:left="1514" w:header="709" w:footer="907" w:gutter="0"/>
          <w:cols w:space="720"/>
          <w:formProt w:val="0"/>
        </w:sectPr>
      </w:pPr>
    </w:p>
    <w:p w:rsidR="0055535A" w:rsidRDefault="0055535A" w:rsidP="0055535A">
      <w:pPr>
        <w:pStyle w:val="Titre1"/>
        <w:numPr>
          <w:ilvl w:val="0"/>
          <w:numId w:val="32"/>
        </w:numPr>
        <w:tabs>
          <w:tab w:val="left" w:pos="708"/>
        </w:tabs>
      </w:pPr>
      <w:bookmarkStart w:id="166" w:name="_Toc475972207"/>
      <w:bookmarkStart w:id="167" w:name="_Toc411938881"/>
      <w:bookmarkStart w:id="168" w:name="_Toc370814290"/>
      <w:bookmarkStart w:id="169" w:name="_Toc370814214"/>
      <w:bookmarkStart w:id="170" w:name="_Toc305765872"/>
      <w:r>
        <w:t>Pilotage et apprentissage</w:t>
      </w:r>
      <w:bookmarkEnd w:id="166"/>
      <w:bookmarkEnd w:id="167"/>
      <w:bookmarkEnd w:id="168"/>
      <w:bookmarkEnd w:id="169"/>
    </w:p>
    <w:p w:rsidR="0055535A" w:rsidRDefault="0055535A" w:rsidP="0055535A">
      <w:pPr>
        <w:pStyle w:val="Titre2"/>
        <w:numPr>
          <w:ilvl w:val="0"/>
          <w:numId w:val="0"/>
        </w:numPr>
        <w:tabs>
          <w:tab w:val="left" w:pos="708"/>
        </w:tabs>
        <w:ind w:firstLine="1134"/>
        <w:rPr>
          <w:rFonts w:cs="Arial"/>
        </w:rPr>
      </w:pPr>
      <w:bookmarkStart w:id="171" w:name="_Toc370814215"/>
      <w:bookmarkStart w:id="172" w:name="_Toc370814291"/>
      <w:bookmarkStart w:id="173" w:name="_Toc475972208"/>
      <w:bookmarkStart w:id="174" w:name="_Toc305765873"/>
      <w:bookmarkEnd w:id="170"/>
      <w:r>
        <w:t xml:space="preserve">3.1 </w:t>
      </w:r>
      <w:bookmarkStart w:id="175" w:name="_Toc411938882"/>
      <w:r>
        <w:t>Réorientations stratégiques</w:t>
      </w:r>
      <w:bookmarkEnd w:id="171"/>
      <w:bookmarkEnd w:id="172"/>
      <w:bookmarkEnd w:id="173"/>
      <w:bookmarkEnd w:id="175"/>
      <w:r>
        <w:t xml:space="preserve"> </w:t>
      </w:r>
    </w:p>
    <w:p w:rsidR="0055535A" w:rsidRDefault="0055535A" w:rsidP="0055535A">
      <w:pPr>
        <w:pStyle w:val="CTBCorpsdetexte"/>
        <w:rPr>
          <w:b/>
        </w:rPr>
      </w:pPr>
      <w:bookmarkStart w:id="176" w:name="_Toc471200824"/>
      <w:r>
        <w:rPr>
          <w:b/>
        </w:rPr>
        <w:t>Repenser l’appui institutionnel</w:t>
      </w:r>
    </w:p>
    <w:bookmarkEnd w:id="176"/>
    <w:p w:rsidR="0055535A" w:rsidRDefault="0055535A" w:rsidP="0055535A">
      <w:pPr>
        <w:pStyle w:val="CTBCorpsdetexte"/>
      </w:pPr>
      <w:r>
        <w:t>Depuis fin 2015, l’appui au niveau central du MSPLS a été suspendu. Il y a eu une confusion de compréhension de l’appui central qui n’est pas synonyme d’appui institutionnel. En effet, l’appui institutionnel doit être compris comme un appui à des systèmes à vocation pérenne. Des tels systèmes existent aux différents niveaux du système, du communautaire au central. Renforcer le modèle de district puisque ce modèle est reconnu comme viable et pérenne est par exemple un appui institutionnel qui mérite de se poursuivre.</w:t>
      </w:r>
    </w:p>
    <w:p w:rsidR="0055535A" w:rsidRDefault="0055535A" w:rsidP="0055535A">
      <w:pPr>
        <w:pStyle w:val="CTBCorpsdetexte"/>
      </w:pPr>
      <w:r>
        <w:t>Certes le district a besoin d’être soutenu dans son développement par les autres niveaux de la pyramide. La question sera de déterminer jusqu’à quel niveau et quelles activités de ces niveaux de la pyramide méritent d’être soutenues puisque vitales pour le développement des districts tout en veillant à ne pas encourager la mal gouvernance.</w:t>
      </w:r>
    </w:p>
    <w:p w:rsidR="0055535A" w:rsidRDefault="0055535A" w:rsidP="0055535A">
      <w:pPr>
        <w:pStyle w:val="CTBCorpsdetexte"/>
      </w:pPr>
      <w:r>
        <w:t>Les évaluateurs du PAISS ont tranché sans ambiguïté la question : « …</w:t>
      </w:r>
      <w:r>
        <w:rPr>
          <w:i/>
        </w:rPr>
        <w:t>Un programme d’appui institutionnel à focalisation opérationnelle est justifiable dans la mesure où d’autres partenaires peuvent appuyer le niveau central en cas de besoins et que par principe, l’appui belge vient en complément aux autres intervenants</w:t>
      </w:r>
      <w:r>
        <w:rPr>
          <w:rStyle w:val="Marquedecommentaire"/>
          <w:rFonts w:cs="Tahoma"/>
        </w:rPr>
        <w:t>… »</w:t>
      </w:r>
      <w:r>
        <w:t>.</w:t>
      </w:r>
    </w:p>
    <w:p w:rsidR="0055535A" w:rsidRDefault="0055535A" w:rsidP="0055535A">
      <w:pPr>
        <w:pStyle w:val="CTBCorpsdetexte"/>
        <w:rPr>
          <w:b/>
        </w:rPr>
      </w:pPr>
      <w:r>
        <w:rPr>
          <w:b/>
        </w:rPr>
        <w:t>Intégrer l’appui aux programmes de formation des institutions privées capables</w:t>
      </w:r>
    </w:p>
    <w:p w:rsidR="0055535A" w:rsidRDefault="0055535A" w:rsidP="0055535A">
      <w:pPr>
        <w:pStyle w:val="CTBCorpsdetexte"/>
      </w:pPr>
      <w:bookmarkStart w:id="177" w:name="_Toc471200825"/>
      <w:r>
        <w:t xml:space="preserve">S’agissant spécifiquement du volet 4, </w:t>
      </w:r>
      <w:bookmarkEnd w:id="177"/>
      <w:r>
        <w:t>l</w:t>
      </w:r>
      <w:r>
        <w:rPr>
          <w:rFonts w:eastAsia="Calibri"/>
          <w:kern w:val="0"/>
          <w:szCs w:val="22"/>
        </w:rPr>
        <w:t xml:space="preserve">a mobilité des informaticiens et du personnel de santé formé reste forte alors que le profil des informaticiens et le niveau de transfert de compétences ne permettent pas d’assurer le développement et la maintenance et l’adaptation de l’application OpenClinic au niveau national. Le Programme se doit dans les années qui viennent de s’orienter vers un soutien ou un développement des compétences en informatique de santé et l’appui à la formation dans le secteur privé. Une fois la masse critique atteinte, ces informaticiens formés seront sollicités à appuyer les structures de santé. </w:t>
      </w:r>
    </w:p>
    <w:p w:rsidR="0055535A" w:rsidRDefault="0055535A" w:rsidP="0055535A">
      <w:pPr>
        <w:jc w:val="both"/>
        <w:rPr>
          <w:sz w:val="20"/>
        </w:rPr>
      </w:pPr>
    </w:p>
    <w:p w:rsidR="0055535A" w:rsidRDefault="0055535A" w:rsidP="0055535A">
      <w:pPr>
        <w:pStyle w:val="Titre2"/>
        <w:numPr>
          <w:ilvl w:val="0"/>
          <w:numId w:val="0"/>
        </w:numPr>
        <w:tabs>
          <w:tab w:val="left" w:pos="708"/>
        </w:tabs>
        <w:ind w:left="1080"/>
        <w:rPr>
          <w:rFonts w:cs="Arial"/>
          <w:sz w:val="28"/>
        </w:rPr>
      </w:pPr>
      <w:bookmarkStart w:id="178" w:name="_Toc370814216"/>
      <w:bookmarkStart w:id="179" w:name="_Toc370814292"/>
      <w:bookmarkStart w:id="180" w:name="_Toc475972209"/>
      <w:r>
        <w:t xml:space="preserve">3.2 </w:t>
      </w:r>
      <w:bookmarkStart w:id="181" w:name="_Toc411938883"/>
      <w:r>
        <w:t>Recommandations</w:t>
      </w:r>
      <w:bookmarkEnd w:id="178"/>
      <w:bookmarkEnd w:id="179"/>
      <w:bookmarkEnd w:id="180"/>
      <w:bookmarkEnd w:id="181"/>
      <w:r>
        <w:t xml:space="preserve"> </w:t>
      </w:r>
    </w:p>
    <w:tbl>
      <w:tblPr>
        <w:tblW w:w="8921" w:type="dxa"/>
        <w:tblInd w:w="-981" w:type="dxa"/>
        <w:tblCellMar>
          <w:left w:w="0" w:type="dxa"/>
          <w:right w:w="0" w:type="dxa"/>
        </w:tblCellMar>
        <w:tblLook w:val="04A0" w:firstRow="1" w:lastRow="0" w:firstColumn="1" w:lastColumn="0" w:noHBand="0" w:noVBand="1"/>
      </w:tblPr>
      <w:tblGrid>
        <w:gridCol w:w="5834"/>
        <w:gridCol w:w="1704"/>
        <w:gridCol w:w="1383"/>
      </w:tblGrid>
      <w:tr w:rsidR="0055535A" w:rsidTr="0055535A">
        <w:trPr>
          <w:trHeight w:val="457"/>
        </w:trPr>
        <w:tc>
          <w:tcPr>
            <w:tcW w:w="5834"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vAlign w:val="center"/>
            <w:hideMark/>
          </w:tcPr>
          <w:p w:rsidR="0055535A" w:rsidRDefault="0055535A">
            <w:pPr>
              <w:jc w:val="center"/>
              <w:rPr>
                <w:rFonts w:eastAsia="Arial Unicode MS" w:cs="Arial"/>
                <w:b/>
                <w:bCs/>
                <w:sz w:val="20"/>
                <w:szCs w:val="16"/>
              </w:rPr>
            </w:pPr>
            <w:r>
              <w:rPr>
                <w:b/>
                <w:sz w:val="20"/>
              </w:rPr>
              <w:t>Recommandations</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b/>
                <w:bCs/>
                <w:strike/>
                <w:sz w:val="20"/>
                <w:szCs w:val="16"/>
              </w:rPr>
            </w:pPr>
            <w:r>
              <w:rPr>
                <w:b/>
                <w:sz w:val="20"/>
              </w:rPr>
              <w:t>Acteur</w:t>
            </w:r>
          </w:p>
        </w:tc>
        <w:tc>
          <w:tcPr>
            <w:tcW w:w="1383"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b/>
                <w:bCs/>
                <w:sz w:val="20"/>
                <w:szCs w:val="16"/>
              </w:rPr>
            </w:pPr>
            <w:r>
              <w:rPr>
                <w:b/>
                <w:sz w:val="20"/>
              </w:rPr>
              <w:t>Date limite</w:t>
            </w:r>
          </w:p>
        </w:tc>
      </w:tr>
      <w:tr w:rsidR="0055535A" w:rsidTr="0055535A">
        <w:trPr>
          <w:trHeight w:val="259"/>
        </w:trPr>
        <w:tc>
          <w:tcPr>
            <w:tcW w:w="5834"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55535A" w:rsidRDefault="0055535A" w:rsidP="0055535A">
            <w:pPr>
              <w:numPr>
                <w:ilvl w:val="0"/>
                <w:numId w:val="33"/>
              </w:numPr>
              <w:ind w:left="414" w:hanging="284"/>
              <w:rPr>
                <w:rFonts w:cs="Arial"/>
                <w:sz w:val="20"/>
                <w:szCs w:val="20"/>
              </w:rPr>
            </w:pPr>
            <w:r>
              <w:rPr>
                <w:rFonts w:cs="Arial"/>
                <w:sz w:val="20"/>
                <w:szCs w:val="20"/>
              </w:rPr>
              <w:t>Poursuivre les appuis du programme PAISS qui sont dirigés vers le niveau opérationnel et les services de santé pour la population</w:t>
            </w:r>
          </w:p>
        </w:tc>
        <w:tc>
          <w:tcPr>
            <w:tcW w:w="170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sz w:val="20"/>
                <w:szCs w:val="14"/>
              </w:rPr>
            </w:pPr>
            <w:r>
              <w:rPr>
                <w:rFonts w:eastAsia="Arial Unicode MS" w:cs="Arial"/>
                <w:sz w:val="20"/>
                <w:szCs w:val="14"/>
              </w:rPr>
              <w:t>DGD</w:t>
            </w:r>
          </w:p>
        </w:tc>
        <w:tc>
          <w:tcPr>
            <w:tcW w:w="138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sz w:val="20"/>
                <w:szCs w:val="14"/>
              </w:rPr>
            </w:pPr>
            <w:r>
              <w:rPr>
                <w:rFonts w:eastAsia="Arial Unicode MS" w:cs="Arial"/>
                <w:sz w:val="20"/>
                <w:szCs w:val="14"/>
              </w:rPr>
              <w:t>2017</w:t>
            </w:r>
          </w:p>
        </w:tc>
      </w:tr>
      <w:tr w:rsidR="0055535A" w:rsidTr="0055535A">
        <w:trPr>
          <w:trHeight w:val="259"/>
        </w:trPr>
        <w:tc>
          <w:tcPr>
            <w:tcW w:w="5834"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55535A" w:rsidRDefault="0055535A" w:rsidP="0055535A">
            <w:pPr>
              <w:numPr>
                <w:ilvl w:val="0"/>
                <w:numId w:val="33"/>
              </w:numPr>
              <w:ind w:left="414" w:hanging="284"/>
              <w:rPr>
                <w:rFonts w:cs="Arial"/>
                <w:sz w:val="20"/>
                <w:szCs w:val="20"/>
              </w:rPr>
            </w:pPr>
            <w:r>
              <w:rPr>
                <w:rFonts w:cs="Arial"/>
                <w:sz w:val="20"/>
                <w:szCs w:val="20"/>
              </w:rPr>
              <w:t>Intégrer les priorités résiduelles du PAISS-PC (référence et contre référence, chirurgie de district) dans les volets 4 et 5.</w:t>
            </w:r>
          </w:p>
        </w:tc>
        <w:tc>
          <w:tcPr>
            <w:tcW w:w="170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sz w:val="20"/>
                <w:szCs w:val="14"/>
              </w:rPr>
            </w:pPr>
            <w:r>
              <w:rPr>
                <w:rFonts w:eastAsia="Arial Unicode MS" w:cs="Arial"/>
                <w:sz w:val="20"/>
                <w:szCs w:val="14"/>
              </w:rPr>
              <w:t>PAISS</w:t>
            </w:r>
          </w:p>
        </w:tc>
        <w:tc>
          <w:tcPr>
            <w:tcW w:w="138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sz w:val="20"/>
                <w:szCs w:val="14"/>
              </w:rPr>
            </w:pPr>
            <w:r>
              <w:rPr>
                <w:rFonts w:eastAsia="Arial Unicode MS" w:cs="Arial"/>
                <w:sz w:val="20"/>
                <w:szCs w:val="14"/>
              </w:rPr>
              <w:t>2017</w:t>
            </w:r>
          </w:p>
        </w:tc>
      </w:tr>
      <w:tr w:rsidR="0055535A" w:rsidTr="0055535A">
        <w:trPr>
          <w:trHeight w:val="456"/>
        </w:trPr>
        <w:tc>
          <w:tcPr>
            <w:tcW w:w="5834"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rsidR="0055535A" w:rsidRDefault="0055535A" w:rsidP="0055535A">
            <w:pPr>
              <w:numPr>
                <w:ilvl w:val="0"/>
                <w:numId w:val="33"/>
              </w:numPr>
              <w:ind w:left="414" w:hanging="284"/>
              <w:rPr>
                <w:rFonts w:cs="Arial"/>
                <w:sz w:val="20"/>
                <w:szCs w:val="20"/>
              </w:rPr>
            </w:pPr>
            <w:r>
              <w:rPr>
                <w:rFonts w:cs="Arial"/>
                <w:sz w:val="20"/>
                <w:szCs w:val="20"/>
              </w:rPr>
              <w:t xml:space="preserve">Poursuivre l’accompagnement du FBP des Formations Sanitaires et appuyer le développement du FBP Communautaire </w:t>
            </w:r>
          </w:p>
        </w:tc>
        <w:tc>
          <w:tcPr>
            <w:tcW w:w="1704"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sz w:val="20"/>
                <w:szCs w:val="14"/>
              </w:rPr>
            </w:pPr>
            <w:r>
              <w:rPr>
                <w:rFonts w:eastAsia="Arial Unicode MS" w:cs="Arial"/>
                <w:sz w:val="20"/>
                <w:szCs w:val="14"/>
              </w:rPr>
              <w:t>Ambassade</w:t>
            </w:r>
          </w:p>
          <w:p w:rsidR="0055535A" w:rsidRDefault="0055535A">
            <w:pPr>
              <w:jc w:val="center"/>
              <w:rPr>
                <w:rFonts w:eastAsia="Arial Unicode MS" w:cs="Arial"/>
                <w:sz w:val="20"/>
                <w:szCs w:val="14"/>
              </w:rPr>
            </w:pPr>
            <w:r>
              <w:rPr>
                <w:rFonts w:eastAsia="Arial Unicode MS" w:cs="Arial"/>
                <w:sz w:val="20"/>
                <w:szCs w:val="14"/>
              </w:rPr>
              <w:t>DGD</w:t>
            </w:r>
          </w:p>
        </w:tc>
        <w:tc>
          <w:tcPr>
            <w:tcW w:w="1383" w:type="dxa"/>
            <w:tcBorders>
              <w:top w:val="nil"/>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sz w:val="20"/>
                <w:szCs w:val="14"/>
              </w:rPr>
            </w:pPr>
            <w:r>
              <w:rPr>
                <w:rFonts w:eastAsia="Arial Unicode MS" w:cs="Arial"/>
                <w:sz w:val="20"/>
                <w:szCs w:val="14"/>
              </w:rPr>
              <w:t>2017</w:t>
            </w:r>
          </w:p>
        </w:tc>
      </w:tr>
      <w:tr w:rsidR="0055535A" w:rsidTr="0055535A">
        <w:trPr>
          <w:trHeight w:val="456"/>
        </w:trPr>
        <w:tc>
          <w:tcPr>
            <w:tcW w:w="5834"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rsidR="0055535A" w:rsidRDefault="0055535A" w:rsidP="0055535A">
            <w:pPr>
              <w:numPr>
                <w:ilvl w:val="0"/>
                <w:numId w:val="33"/>
              </w:numPr>
              <w:ind w:left="414" w:hanging="284"/>
              <w:rPr>
                <w:rFonts w:cs="Arial"/>
                <w:sz w:val="20"/>
                <w:szCs w:val="20"/>
              </w:rPr>
            </w:pPr>
            <w:r>
              <w:rPr>
                <w:rFonts w:cs="Arial"/>
                <w:sz w:val="20"/>
                <w:szCs w:val="20"/>
              </w:rPr>
              <w:t>S’assurer que les nouvelles stratégies ont fait leur preuve avant de les adopter ; besoin de développement de la Recherche Action préalable.</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sz w:val="20"/>
                <w:szCs w:val="14"/>
              </w:rPr>
            </w:pPr>
            <w:r>
              <w:rPr>
                <w:rFonts w:eastAsia="Arial Unicode MS" w:cs="Arial"/>
                <w:sz w:val="20"/>
                <w:szCs w:val="14"/>
              </w:rPr>
              <w:t>CTB/ PAISS</w:t>
            </w:r>
          </w:p>
        </w:tc>
        <w:tc>
          <w:tcPr>
            <w:tcW w:w="1383"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hideMark/>
          </w:tcPr>
          <w:p w:rsidR="0055535A" w:rsidRDefault="0055535A">
            <w:pPr>
              <w:jc w:val="center"/>
              <w:rPr>
                <w:rFonts w:eastAsia="Arial Unicode MS" w:cs="Arial"/>
                <w:sz w:val="20"/>
                <w:szCs w:val="14"/>
              </w:rPr>
            </w:pPr>
            <w:r>
              <w:rPr>
                <w:rFonts w:eastAsia="Arial Unicode MS" w:cs="Arial"/>
                <w:sz w:val="20"/>
                <w:szCs w:val="14"/>
              </w:rPr>
              <w:t>2017</w:t>
            </w:r>
          </w:p>
        </w:tc>
      </w:tr>
    </w:tbl>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Pr>
        <w:pStyle w:val="Titre2"/>
        <w:numPr>
          <w:ilvl w:val="0"/>
          <w:numId w:val="0"/>
        </w:numPr>
        <w:tabs>
          <w:tab w:val="left" w:pos="708"/>
        </w:tabs>
        <w:ind w:left="1560"/>
        <w:rPr>
          <w:rFonts w:cs="Arial"/>
        </w:rPr>
      </w:pPr>
      <w:bookmarkStart w:id="182" w:name="_Toc370814217"/>
      <w:bookmarkStart w:id="183" w:name="_Toc370814293"/>
      <w:bookmarkStart w:id="184" w:name="_Toc475972210"/>
      <w:r>
        <w:t xml:space="preserve">3.3 </w:t>
      </w:r>
      <w:bookmarkStart w:id="185" w:name="_Toc411938884"/>
      <w:r>
        <w:t>Enseignements tirés</w:t>
      </w:r>
      <w:bookmarkEnd w:id="174"/>
      <w:bookmarkEnd w:id="182"/>
      <w:bookmarkEnd w:id="183"/>
      <w:bookmarkEnd w:id="184"/>
      <w:bookmarkEnd w:id="185"/>
      <w:r>
        <w:t xml:space="preserve"> </w:t>
      </w:r>
    </w:p>
    <w:tbl>
      <w:tblPr>
        <w:tblW w:w="89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40"/>
        <w:gridCol w:w="1701"/>
      </w:tblGrid>
      <w:tr w:rsidR="0055535A" w:rsidTr="0055535A">
        <w:trPr>
          <w:cantSplit/>
          <w:trHeight w:val="509"/>
        </w:trPr>
        <w:tc>
          <w:tcPr>
            <w:tcW w:w="7240"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eastAsia="Arial Unicode MS" w:cs="Arial"/>
                <w:b/>
                <w:bCs/>
                <w:sz w:val="20"/>
                <w:szCs w:val="16"/>
              </w:rPr>
            </w:pPr>
            <w:r>
              <w:rPr>
                <w:b/>
                <w:sz w:val="20"/>
              </w:rPr>
              <w:t>Enseignements tirés</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eastAsia="Arial Unicode MS" w:cs="Arial"/>
                <w:b/>
                <w:bCs/>
                <w:sz w:val="20"/>
                <w:szCs w:val="16"/>
              </w:rPr>
            </w:pPr>
            <w:r>
              <w:rPr>
                <w:b/>
                <w:sz w:val="20"/>
              </w:rPr>
              <w:t>Public cible</w:t>
            </w:r>
          </w:p>
        </w:tc>
      </w:tr>
      <w:tr w:rsidR="0055535A" w:rsidTr="0055535A">
        <w:trPr>
          <w:cantSplit/>
          <w:trHeight w:val="972"/>
        </w:trPr>
        <w:tc>
          <w:tcPr>
            <w:tcW w:w="7240" w:type="dxa"/>
            <w:tcBorders>
              <w:top w:val="single" w:sz="4" w:space="0" w:color="auto"/>
              <w:left w:val="single" w:sz="4" w:space="0" w:color="auto"/>
              <w:bottom w:val="single" w:sz="4" w:space="0" w:color="auto"/>
              <w:right w:val="single" w:sz="4" w:space="0" w:color="auto"/>
            </w:tcBorders>
            <w:vAlign w:val="center"/>
            <w:hideMark/>
          </w:tcPr>
          <w:p w:rsidR="0055535A" w:rsidRDefault="0055535A" w:rsidP="0055535A">
            <w:pPr>
              <w:pStyle w:val="Paragraphedeliste"/>
              <w:numPr>
                <w:ilvl w:val="0"/>
                <w:numId w:val="33"/>
              </w:numPr>
              <w:snapToGrid/>
              <w:rPr>
                <w:rFonts w:ascii="Arial" w:hAnsi="Arial" w:cs="Arial"/>
                <w:sz w:val="20"/>
                <w:szCs w:val="16"/>
              </w:rPr>
            </w:pPr>
            <w:r>
              <w:rPr>
                <w:rFonts w:ascii="Arial" w:hAnsi="Arial" w:cs="Arial"/>
                <w:sz w:val="20"/>
                <w:szCs w:val="16"/>
              </w:rPr>
              <w:t>L’arrêt d’un appui traditionnellement assuré au niveau central génère des frustrations qui ont un impact négatif sur l’intervention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eastAsia="Arial Unicode MS" w:cs="Arial"/>
                <w:sz w:val="20"/>
                <w:szCs w:val="16"/>
                <w:lang w:val="fr-BE"/>
              </w:rPr>
            </w:pPr>
            <w:r>
              <w:rPr>
                <w:rFonts w:eastAsia="Arial Unicode MS" w:cs="Arial"/>
                <w:sz w:val="20"/>
                <w:szCs w:val="16"/>
                <w:lang w:val="fr-BE"/>
              </w:rPr>
              <w:t>DGD/CTB</w:t>
            </w:r>
          </w:p>
        </w:tc>
      </w:tr>
      <w:tr w:rsidR="0055535A" w:rsidTr="0055535A">
        <w:trPr>
          <w:cantSplit/>
          <w:trHeight w:val="972"/>
        </w:trPr>
        <w:tc>
          <w:tcPr>
            <w:tcW w:w="7240" w:type="dxa"/>
            <w:tcBorders>
              <w:top w:val="single" w:sz="4" w:space="0" w:color="auto"/>
              <w:left w:val="single" w:sz="4" w:space="0" w:color="auto"/>
              <w:bottom w:val="single" w:sz="4" w:space="0" w:color="auto"/>
              <w:right w:val="single" w:sz="4" w:space="0" w:color="auto"/>
            </w:tcBorders>
            <w:vAlign w:val="center"/>
            <w:hideMark/>
          </w:tcPr>
          <w:p w:rsidR="0055535A" w:rsidRDefault="0055535A" w:rsidP="0055535A">
            <w:pPr>
              <w:pStyle w:val="Paragraphedeliste"/>
              <w:numPr>
                <w:ilvl w:val="0"/>
                <w:numId w:val="33"/>
              </w:numPr>
              <w:snapToGrid/>
              <w:rPr>
                <w:rFonts w:ascii="Arial" w:hAnsi="Arial" w:cs="Arial"/>
                <w:sz w:val="20"/>
                <w:szCs w:val="16"/>
              </w:rPr>
            </w:pPr>
            <w:r>
              <w:rPr>
                <w:rFonts w:ascii="Arial" w:hAnsi="Arial" w:cs="Arial"/>
                <w:sz w:val="20"/>
                <w:szCs w:val="16"/>
              </w:rPr>
              <w:t>Le PAISS a pu garder sa pertinence et son efficacité dans un contexte externe difficile et contraignant, preuve de sa valeur conceptuelle.</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eastAsia="Arial Unicode MS" w:cs="Arial"/>
                <w:sz w:val="20"/>
                <w:szCs w:val="16"/>
              </w:rPr>
            </w:pPr>
            <w:r>
              <w:rPr>
                <w:rFonts w:eastAsia="Arial Unicode MS" w:cs="Arial"/>
                <w:sz w:val="20"/>
                <w:szCs w:val="16"/>
              </w:rPr>
              <w:t>DGD / CTB</w:t>
            </w:r>
          </w:p>
        </w:tc>
      </w:tr>
      <w:tr w:rsidR="0055535A" w:rsidTr="0055535A">
        <w:trPr>
          <w:cantSplit/>
          <w:trHeight w:val="972"/>
        </w:trPr>
        <w:tc>
          <w:tcPr>
            <w:tcW w:w="7240" w:type="dxa"/>
            <w:tcBorders>
              <w:top w:val="single" w:sz="4" w:space="0" w:color="auto"/>
              <w:left w:val="single" w:sz="4" w:space="0" w:color="auto"/>
              <w:bottom w:val="single" w:sz="4" w:space="0" w:color="auto"/>
              <w:right w:val="single" w:sz="4" w:space="0" w:color="auto"/>
            </w:tcBorders>
            <w:vAlign w:val="center"/>
            <w:hideMark/>
          </w:tcPr>
          <w:p w:rsidR="0055535A" w:rsidRDefault="0055535A" w:rsidP="0055535A">
            <w:pPr>
              <w:pStyle w:val="Paragraphedeliste"/>
              <w:numPr>
                <w:ilvl w:val="0"/>
                <w:numId w:val="33"/>
              </w:numPr>
              <w:snapToGrid/>
              <w:rPr>
                <w:rFonts w:ascii="Arial" w:hAnsi="Arial" w:cs="Arial"/>
                <w:sz w:val="20"/>
                <w:szCs w:val="16"/>
              </w:rPr>
            </w:pPr>
            <w:r>
              <w:rPr>
                <w:rFonts w:ascii="Arial" w:hAnsi="Arial" w:cs="Arial"/>
                <w:sz w:val="20"/>
                <w:szCs w:val="16"/>
              </w:rPr>
              <w:t>La durabilité économique d’une intervention dans un pays fragile est largement tributaire de multiples facteurs difficiles à maitriser par l’intervention.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eastAsia="Arial Unicode MS" w:cs="Arial"/>
                <w:sz w:val="20"/>
                <w:szCs w:val="16"/>
              </w:rPr>
            </w:pPr>
            <w:r>
              <w:rPr>
                <w:rFonts w:eastAsia="Arial Unicode MS" w:cs="Arial"/>
                <w:sz w:val="20"/>
                <w:szCs w:val="16"/>
              </w:rPr>
              <w:t>DGD</w:t>
            </w:r>
          </w:p>
        </w:tc>
      </w:tr>
      <w:tr w:rsidR="0055535A" w:rsidTr="0055535A">
        <w:trPr>
          <w:cantSplit/>
          <w:trHeight w:val="972"/>
        </w:trPr>
        <w:tc>
          <w:tcPr>
            <w:tcW w:w="7240" w:type="dxa"/>
            <w:tcBorders>
              <w:top w:val="single" w:sz="4" w:space="0" w:color="auto"/>
              <w:left w:val="single" w:sz="4" w:space="0" w:color="auto"/>
              <w:bottom w:val="single" w:sz="4" w:space="0" w:color="auto"/>
              <w:right w:val="single" w:sz="4" w:space="0" w:color="auto"/>
            </w:tcBorders>
            <w:vAlign w:val="center"/>
            <w:hideMark/>
          </w:tcPr>
          <w:p w:rsidR="0055535A" w:rsidRDefault="0055535A" w:rsidP="0055535A">
            <w:pPr>
              <w:pStyle w:val="Paragraphedeliste"/>
              <w:numPr>
                <w:ilvl w:val="0"/>
                <w:numId w:val="33"/>
              </w:numPr>
              <w:snapToGrid/>
              <w:rPr>
                <w:rFonts w:ascii="Arial" w:hAnsi="Arial" w:cs="Arial"/>
                <w:sz w:val="20"/>
                <w:szCs w:val="16"/>
              </w:rPr>
            </w:pPr>
            <w:r>
              <w:rPr>
                <w:rFonts w:ascii="Arial" w:hAnsi="Arial" w:cs="Arial"/>
                <w:sz w:val="20"/>
                <w:szCs w:val="16"/>
              </w:rPr>
              <w:t>Les financements basés sur la performance sont utiles pour garantir une continuité transitoire des activités en période de crise</w:t>
            </w:r>
          </w:p>
        </w:tc>
        <w:tc>
          <w:tcPr>
            <w:tcW w:w="1701" w:type="dxa"/>
            <w:tcBorders>
              <w:top w:val="single" w:sz="4" w:space="0" w:color="auto"/>
              <w:left w:val="single" w:sz="4" w:space="0" w:color="auto"/>
              <w:bottom w:val="single" w:sz="4" w:space="0" w:color="auto"/>
              <w:right w:val="single" w:sz="4" w:space="0" w:color="auto"/>
            </w:tcBorders>
            <w:vAlign w:val="center"/>
            <w:hideMark/>
          </w:tcPr>
          <w:p w:rsidR="0055535A" w:rsidRDefault="0055535A">
            <w:pPr>
              <w:jc w:val="center"/>
              <w:rPr>
                <w:rFonts w:eastAsia="Arial Unicode MS" w:cs="Arial"/>
                <w:sz w:val="20"/>
                <w:szCs w:val="16"/>
                <w:lang w:val="fr-BE"/>
              </w:rPr>
            </w:pPr>
            <w:r>
              <w:rPr>
                <w:rFonts w:eastAsia="Arial Unicode MS" w:cs="Arial"/>
                <w:sz w:val="20"/>
                <w:szCs w:val="16"/>
                <w:lang w:val="fr-BE"/>
              </w:rPr>
              <w:t>PTFs</w:t>
            </w:r>
          </w:p>
        </w:tc>
      </w:tr>
    </w:tbl>
    <w:p w:rsidR="0055535A" w:rsidRDefault="0055535A" w:rsidP="0055535A">
      <w:pPr>
        <w:pStyle w:val="Titre1"/>
        <w:numPr>
          <w:ilvl w:val="0"/>
          <w:numId w:val="34"/>
        </w:numPr>
        <w:tabs>
          <w:tab w:val="left" w:pos="708"/>
        </w:tabs>
        <w:rPr>
          <w:rFonts w:eastAsia="Times New Roman" w:cs="Arial"/>
        </w:rPr>
      </w:pPr>
      <w:bookmarkStart w:id="186" w:name="_Toc475972211"/>
      <w:bookmarkStart w:id="187" w:name="_Toc411938885"/>
      <w:bookmarkStart w:id="188" w:name="_Toc370814294"/>
      <w:bookmarkStart w:id="189" w:name="_Toc370814218"/>
      <w:r>
        <w:t>Annexes</w:t>
      </w:r>
      <w:bookmarkEnd w:id="186"/>
      <w:bookmarkEnd w:id="187"/>
      <w:bookmarkEnd w:id="188"/>
      <w:bookmarkEnd w:id="189"/>
    </w:p>
    <w:p w:rsidR="0055535A" w:rsidRDefault="0055535A" w:rsidP="0055535A">
      <w:pPr>
        <w:pStyle w:val="Titre2"/>
        <w:numPr>
          <w:ilvl w:val="0"/>
          <w:numId w:val="0"/>
        </w:numPr>
        <w:tabs>
          <w:tab w:val="left" w:pos="708"/>
        </w:tabs>
        <w:ind w:left="1080"/>
      </w:pPr>
      <w:bookmarkStart w:id="190" w:name="_Toc305765858"/>
      <w:bookmarkStart w:id="191" w:name="_Toc370814219"/>
      <w:bookmarkStart w:id="192" w:name="_Toc370814295"/>
      <w:bookmarkStart w:id="193" w:name="_Toc475972212"/>
      <w:bookmarkStart w:id="194" w:name="_Toc305765875"/>
      <w:r>
        <w:t xml:space="preserve">4.1 </w:t>
      </w:r>
      <w:bookmarkStart w:id="195" w:name="_Toc411938886"/>
      <w:r>
        <w:t>Critères de qualité</w:t>
      </w:r>
      <w:bookmarkEnd w:id="190"/>
      <w:bookmarkEnd w:id="191"/>
      <w:bookmarkEnd w:id="192"/>
      <w:bookmarkEnd w:id="193"/>
      <w:bookmarkEnd w:id="195"/>
      <w:r>
        <w:t xml:space="preserve"> </w:t>
      </w:r>
    </w:p>
    <w:p w:rsidR="0055535A" w:rsidRDefault="0055535A" w:rsidP="0055535A"/>
    <w:tbl>
      <w:tblPr>
        <w:tblW w:w="9896" w:type="dxa"/>
        <w:tblInd w:w="-1003" w:type="dxa"/>
        <w:tblLook w:val="04A0" w:firstRow="1" w:lastRow="0" w:firstColumn="1" w:lastColumn="0" w:noHBand="0" w:noVBand="1"/>
      </w:tblPr>
      <w:tblGrid>
        <w:gridCol w:w="1499"/>
        <w:gridCol w:w="447"/>
        <w:gridCol w:w="2709"/>
        <w:gridCol w:w="1310"/>
        <w:gridCol w:w="1310"/>
        <w:gridCol w:w="1310"/>
        <w:gridCol w:w="1311"/>
      </w:tblGrid>
      <w:tr w:rsidR="0055535A" w:rsidTr="0055535A">
        <w:trPr>
          <w:trHeight w:val="596"/>
        </w:trPr>
        <w:tc>
          <w:tcPr>
            <w:tcW w:w="9896"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rsidR="0055535A" w:rsidRDefault="0055535A">
            <w:pPr>
              <w:pStyle w:val="CTBCorpsdetexte"/>
            </w:pPr>
            <w:r>
              <w:rPr>
                <w:b/>
                <w:color w:val="000000"/>
                <w:sz w:val="18"/>
              </w:rPr>
              <w:t>1. PERTINENCE : le degré dans lequel l’intervention est cohérente avec les politiques et priorités locales et nationales ainsi qu’avec les attentes des bénéficiaires.</w:t>
            </w:r>
          </w:p>
        </w:tc>
      </w:tr>
      <w:tr w:rsidR="0055535A" w:rsidTr="0055535A">
        <w:trPr>
          <w:trHeight w:val="447"/>
        </w:trPr>
        <w:tc>
          <w:tcPr>
            <w:tcW w:w="9896" w:type="dxa"/>
            <w:gridSpan w:val="7"/>
            <w:tcBorders>
              <w:top w:val="single" w:sz="8" w:space="0" w:color="auto"/>
              <w:left w:val="single" w:sz="8" w:space="0" w:color="auto"/>
              <w:bottom w:val="single" w:sz="4" w:space="0" w:color="auto"/>
              <w:right w:val="single" w:sz="8" w:space="0" w:color="000000"/>
            </w:tcBorders>
            <w:hideMark/>
          </w:tcPr>
          <w:p w:rsidR="0055535A" w:rsidRDefault="0055535A">
            <w:r>
              <w:rPr>
                <w:i/>
                <w:color w:val="000000"/>
                <w:sz w:val="18"/>
              </w:rPr>
              <w:t>Procédez comme suit pour calculer la note totale du présent critère de qualité : Au moins un ‘A, pas de ‘C’ ni de ‘D’ = A; Deux fois un ‘B’ = B ; Au moins un ‘C, pas de ‘D’ = C ; Au moins un ‘D’ = D</w:t>
            </w:r>
          </w:p>
        </w:tc>
      </w:tr>
      <w:tr w:rsidR="0055535A" w:rsidTr="0055535A">
        <w:trPr>
          <w:trHeight w:val="358"/>
        </w:trPr>
        <w:tc>
          <w:tcPr>
            <w:tcW w:w="4655" w:type="dxa"/>
            <w:gridSpan w:val="3"/>
            <w:vMerge w:val="restart"/>
            <w:tcBorders>
              <w:top w:val="single" w:sz="8"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hideMark/>
          </w:tcPr>
          <w:p w:rsidR="0055535A" w:rsidRDefault="0055535A">
            <w:pPr>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hideMark/>
          </w:tcPr>
          <w:p w:rsidR="0055535A" w:rsidRDefault="0055535A">
            <w:pPr>
              <w:jc w:val="center"/>
              <w:rPr>
                <w:rFonts w:cs="Arial"/>
                <w:b/>
                <w:bCs/>
                <w:color w:val="000000"/>
              </w:rPr>
            </w:pPr>
            <w:r>
              <w:rPr>
                <w:b/>
                <w:color w:val="000000"/>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hideMark/>
          </w:tcPr>
          <w:p w:rsidR="0055535A" w:rsidRDefault="0055535A">
            <w:pPr>
              <w:jc w:val="center"/>
              <w:rPr>
                <w:rFonts w:cs="Arial"/>
                <w:b/>
                <w:bCs/>
                <w:color w:val="000000"/>
              </w:rPr>
            </w:pPr>
            <w:r>
              <w:rPr>
                <w:b/>
                <w:color w:val="000000"/>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hideMark/>
          </w:tcPr>
          <w:p w:rsidR="0055535A" w:rsidRDefault="0055535A">
            <w:pPr>
              <w:jc w:val="center"/>
              <w:rPr>
                <w:rFonts w:cs="Arial"/>
                <w:b/>
                <w:bCs/>
                <w:color w:val="000000"/>
              </w:rPr>
            </w:pPr>
            <w:r>
              <w:rPr>
                <w:b/>
                <w:color w:val="000000"/>
              </w:rPr>
              <w:t>D</w:t>
            </w:r>
          </w:p>
        </w:tc>
      </w:tr>
      <w:tr w:rsidR="0055535A" w:rsidTr="0055535A">
        <w:trPr>
          <w:trHeight w:val="296"/>
        </w:trPr>
        <w:tc>
          <w:tcPr>
            <w:tcW w:w="0" w:type="auto"/>
            <w:gridSpan w:val="3"/>
            <w:vMerge/>
            <w:tcBorders>
              <w:top w:val="single" w:sz="8" w:space="0" w:color="auto"/>
              <w:left w:val="single" w:sz="8" w:space="0" w:color="auto"/>
              <w:bottom w:val="single" w:sz="4" w:space="0" w:color="auto"/>
              <w:right w:val="single" w:sz="8" w:space="0" w:color="000000"/>
            </w:tcBorders>
            <w:vAlign w:val="center"/>
            <w:hideMark/>
          </w:tcPr>
          <w:p w:rsidR="0055535A" w:rsidRDefault="0055535A">
            <w:pPr>
              <w:widowControl/>
              <w:suppressAutoHyphens w:val="0"/>
              <w:snapToGrid/>
              <w:rPr>
                <w:rFonts w:cs="Arial"/>
                <w:b/>
                <w:bCs/>
                <w:color w:val="000000"/>
                <w:sz w:val="18"/>
                <w:szCs w:val="18"/>
              </w:rPr>
            </w:pPr>
          </w:p>
        </w:tc>
        <w:tc>
          <w:tcPr>
            <w:tcW w:w="1310" w:type="dxa"/>
            <w:tcBorders>
              <w:top w:val="single" w:sz="8" w:space="0" w:color="auto"/>
              <w:left w:val="single" w:sz="8" w:space="0" w:color="auto"/>
              <w:bottom w:val="single" w:sz="4" w:space="0" w:color="auto"/>
              <w:right w:val="single" w:sz="8" w:space="0" w:color="000000"/>
            </w:tcBorders>
            <w:vAlign w:val="center"/>
          </w:tcPr>
          <w:p w:rsidR="0055535A" w:rsidRDefault="0055535A">
            <w:pPr>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hideMark/>
          </w:tcPr>
          <w:p w:rsidR="0055535A" w:rsidRDefault="0055535A">
            <w:pPr>
              <w:jc w:val="center"/>
              <w:rPr>
                <w:rFonts w:cs="Arial"/>
                <w:b/>
                <w:bCs/>
                <w:color w:val="000000"/>
                <w:szCs w:val="20"/>
              </w:rPr>
            </w:pPr>
            <w:r>
              <w:rPr>
                <w:rFonts w:cs="Arial"/>
                <w:b/>
                <w:bCs/>
                <w:color w:val="000000"/>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rsidR="0055535A" w:rsidRDefault="0055535A">
            <w:pPr>
              <w:jc w:val="center"/>
              <w:rPr>
                <w:rFonts w:cs="Arial"/>
                <w:b/>
                <w:bCs/>
                <w:color w:val="000000"/>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rsidR="0055535A" w:rsidRDefault="0055535A">
            <w:pPr>
              <w:rPr>
                <w:rFonts w:cs="Arial"/>
                <w:b/>
                <w:bCs/>
                <w:color w:val="000000"/>
                <w:szCs w:val="20"/>
              </w:rPr>
            </w:pP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1.1 Quel est le degré de pertinence actuel de l'i</w:t>
            </w:r>
            <w:r>
              <w:rPr>
                <w:b/>
                <w:sz w:val="16"/>
              </w:rPr>
              <w:t>ntervention</w:t>
            </w:r>
            <w:r>
              <w:t> </w:t>
            </w:r>
            <w:r>
              <w:rPr>
                <w:b/>
                <w:color w:val="000000"/>
                <w:sz w:val="18"/>
              </w:rPr>
              <w:t xml:space="preserve">? </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Clairement toujours ancré dans les politiques nationales et la stratégie belge, satisfait aux engagements en matière d’efficacité de l’aide, extrêmement pertinent par rapport aux besoins du groupe cible.</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b/>
                <w:sz w:val="18"/>
                <w:szCs w:val="18"/>
              </w:rPr>
            </w:pPr>
            <w:r>
              <w:rPr>
                <w:rFonts w:cs="Calibri"/>
                <w:b/>
                <w:sz w:val="18"/>
                <w:szCs w:val="18"/>
              </w:rPr>
              <w:t>X</w:t>
            </w:r>
          </w:p>
        </w:tc>
        <w:tc>
          <w:tcPr>
            <w:tcW w:w="447"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S’inscrit toujours bien dans les politiques nationales et la stratégie belge (sans être toujours explicite), relativement compatible avec les engagements en matière d’efficacité de l’aide, pertinent par rapport aux besoins du groupe cible.</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Quelques questions par rapport à la cohérence avec les politiques nationales et la stratégie belge, l’efficacité de l’aide ou la pertinence.</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Contradictions avec les politiques nationales et la stratégie belge, les engagements en matière d’efficacité de l’aide ; la pertinence vis-à-vis des besoins est mise en doute. Des changements majeurs sont requis.</w:t>
            </w: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1.2 La logique d’intervention, telle qu’elle est conçue actuellement, est-elle toujours la bonne ?</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b/>
                <w:color w:val="000000"/>
                <w:sz w:val="18"/>
                <w:szCs w:val="18"/>
              </w:rPr>
            </w:pPr>
            <w:r>
              <w:rPr>
                <w:rFonts w:cs="Calibri"/>
                <w:b/>
                <w:color w:val="000000"/>
                <w:sz w:val="18"/>
                <w:szCs w:val="18"/>
              </w:rPr>
              <w:t>X</w:t>
            </w:r>
          </w:p>
        </w:tc>
        <w:tc>
          <w:tcPr>
            <w:tcW w:w="447"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Logique d’intervention appropriée bien qu’elle puisse avoir besoin de certaines améliorations en termes de hiérarchie d’objectifs, d’indicateurs, de risques et hypothèses.</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Les problèmes par rapport à la logique d’intervention peuvent affecter la performance d’une i</w:t>
            </w:r>
            <w:r>
              <w:rPr>
                <w:sz w:val="18"/>
              </w:rPr>
              <w:t xml:space="preserve">ntervention </w:t>
            </w:r>
            <w:r>
              <w:rPr>
                <w:color w:val="000000"/>
                <w:sz w:val="18"/>
              </w:rPr>
              <w:t>et sa capacité à contrôler et évaluer les progrès ; améliorations requises.</w:t>
            </w:r>
          </w:p>
        </w:tc>
      </w:tr>
      <w:tr w:rsidR="0055535A" w:rsidTr="0055535A">
        <w:trPr>
          <w:trHeight w:val="315"/>
        </w:trPr>
        <w:tc>
          <w:tcPr>
            <w:tcW w:w="1499" w:type="dxa"/>
            <w:tcBorders>
              <w:top w:val="nil"/>
              <w:left w:val="single" w:sz="8" w:space="0" w:color="auto"/>
              <w:bottom w:val="single" w:sz="8"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8"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vAlign w:val="center"/>
            <w:hideMark/>
          </w:tcPr>
          <w:p w:rsidR="0055535A" w:rsidRDefault="0055535A">
            <w:pPr>
              <w:rPr>
                <w:rFonts w:cs="Arial"/>
                <w:b/>
                <w:bCs/>
                <w:color w:val="000000"/>
                <w:sz w:val="18"/>
                <w:szCs w:val="18"/>
              </w:rPr>
            </w:pPr>
            <w:r>
              <w:rPr>
                <w:color w:val="000000"/>
                <w:sz w:val="18"/>
              </w:rPr>
              <w:t>La logique d’intervention est erronée et nécessite une révision en profondeur pour que l'intervention puisse espérer aboutir.</w:t>
            </w:r>
          </w:p>
        </w:tc>
      </w:tr>
    </w:tbl>
    <w:p w:rsidR="0055535A" w:rsidRDefault="0055535A" w:rsidP="0055535A">
      <w:pPr>
        <w:pStyle w:val="Normalcentr"/>
        <w:jc w:val="both"/>
        <w:rPr>
          <w:rFonts w:ascii="Arial" w:hAnsi="Arial" w:cs="Arial"/>
          <w:iCs/>
          <w:sz w:val="18"/>
          <w:szCs w:val="18"/>
        </w:rPr>
      </w:pPr>
    </w:p>
    <w:p w:rsidR="0055535A" w:rsidRDefault="0055535A" w:rsidP="0055535A">
      <w:pPr>
        <w:pStyle w:val="Normalcentr"/>
        <w:jc w:val="both"/>
        <w:rPr>
          <w:rFonts w:ascii="Arial" w:hAnsi="Arial" w:cs="Arial"/>
          <w:iCs/>
          <w:sz w:val="18"/>
          <w:szCs w:val="18"/>
        </w:rPr>
      </w:pPr>
    </w:p>
    <w:p w:rsidR="0055535A" w:rsidRDefault="0055535A" w:rsidP="0055535A">
      <w:pPr>
        <w:pStyle w:val="Normalcentr"/>
        <w:jc w:val="both"/>
        <w:rPr>
          <w:rFonts w:ascii="Arial" w:hAnsi="Arial" w:cs="Arial"/>
          <w:iCs/>
          <w:sz w:val="18"/>
          <w:szCs w:val="18"/>
        </w:rPr>
      </w:pPr>
    </w:p>
    <w:tbl>
      <w:tblPr>
        <w:tblW w:w="9896" w:type="dxa"/>
        <w:tblInd w:w="-1003" w:type="dxa"/>
        <w:tblLook w:val="04A0" w:firstRow="1" w:lastRow="0" w:firstColumn="1" w:lastColumn="0" w:noHBand="0" w:noVBand="1"/>
      </w:tblPr>
      <w:tblGrid>
        <w:gridCol w:w="1499"/>
        <w:gridCol w:w="447"/>
        <w:gridCol w:w="2709"/>
        <w:gridCol w:w="1310"/>
        <w:gridCol w:w="1310"/>
        <w:gridCol w:w="1310"/>
        <w:gridCol w:w="1311"/>
      </w:tblGrid>
      <w:tr w:rsidR="0055535A" w:rsidTr="0055535A">
        <w:trPr>
          <w:trHeight w:val="596"/>
        </w:trPr>
        <w:tc>
          <w:tcPr>
            <w:tcW w:w="9896"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rsidR="0055535A" w:rsidRDefault="0055535A">
            <w:pPr>
              <w:pStyle w:val="CTBCorpsdetexte"/>
            </w:pPr>
            <w:r>
              <w:rPr>
                <w:b/>
                <w:color w:val="000000"/>
                <w:sz w:val="18"/>
              </w:rPr>
              <w:t>2. EFFICIENCE DE LA MISE EN ŒUVRE JUSQU’À CE JOUR : le degré dans lequel les ressources de l’intervention (fonds, expertise, temps, etc.) ont été converties en résultats de façon économe.</w:t>
            </w:r>
          </w:p>
        </w:tc>
      </w:tr>
      <w:tr w:rsidR="0055535A" w:rsidTr="0055535A">
        <w:trPr>
          <w:trHeight w:val="447"/>
        </w:trPr>
        <w:tc>
          <w:tcPr>
            <w:tcW w:w="9896" w:type="dxa"/>
            <w:gridSpan w:val="7"/>
            <w:tcBorders>
              <w:top w:val="single" w:sz="8" w:space="0" w:color="auto"/>
              <w:left w:val="single" w:sz="8" w:space="0" w:color="auto"/>
              <w:bottom w:val="single" w:sz="4" w:space="0" w:color="auto"/>
              <w:right w:val="single" w:sz="8" w:space="0" w:color="000000"/>
            </w:tcBorders>
            <w:hideMark/>
          </w:tcPr>
          <w:p w:rsidR="0055535A" w:rsidRDefault="0055535A">
            <w:r>
              <w:rPr>
                <w:i/>
                <w:sz w:val="18"/>
              </w:rPr>
              <w:t>Procédez comme suit pour calculer la note totale du présent critère de qualité : Au moins deux ‘A, pas de ‘C’ ni de ‘D’ = A; Deux fois un ‘B’, pas de ‘C’ ni de ‘D’ = B ; Au moins un ‘C, pas de ‘D’ = C ; Au moins un ‘D’ = D</w:t>
            </w:r>
          </w:p>
        </w:tc>
      </w:tr>
      <w:tr w:rsidR="0055535A" w:rsidTr="0055535A">
        <w:trPr>
          <w:trHeight w:val="358"/>
        </w:trPr>
        <w:tc>
          <w:tcPr>
            <w:tcW w:w="4655" w:type="dxa"/>
            <w:gridSpan w:val="3"/>
            <w:vMerge w:val="restart"/>
            <w:tcBorders>
              <w:top w:val="single" w:sz="8"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hideMark/>
          </w:tcPr>
          <w:p w:rsidR="0055535A" w:rsidRDefault="0055535A">
            <w:pPr>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hideMark/>
          </w:tcPr>
          <w:p w:rsidR="0055535A" w:rsidRDefault="0055535A">
            <w:pPr>
              <w:jc w:val="center"/>
              <w:rPr>
                <w:rFonts w:cs="Arial"/>
                <w:b/>
                <w:bCs/>
                <w:color w:val="000000"/>
              </w:rPr>
            </w:pPr>
            <w:r>
              <w:rPr>
                <w:b/>
                <w:color w:val="000000"/>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hideMark/>
          </w:tcPr>
          <w:p w:rsidR="0055535A" w:rsidRDefault="0055535A">
            <w:pPr>
              <w:jc w:val="center"/>
              <w:rPr>
                <w:rFonts w:cs="Arial"/>
                <w:b/>
                <w:bCs/>
                <w:color w:val="000000"/>
              </w:rPr>
            </w:pPr>
            <w:r>
              <w:rPr>
                <w:b/>
                <w:color w:val="000000"/>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hideMark/>
          </w:tcPr>
          <w:p w:rsidR="0055535A" w:rsidRDefault="0055535A">
            <w:pPr>
              <w:jc w:val="center"/>
              <w:rPr>
                <w:rFonts w:cs="Arial"/>
                <w:b/>
                <w:bCs/>
                <w:color w:val="000000"/>
              </w:rPr>
            </w:pPr>
            <w:r>
              <w:rPr>
                <w:b/>
                <w:color w:val="000000"/>
              </w:rPr>
              <w:t>D</w:t>
            </w:r>
          </w:p>
        </w:tc>
      </w:tr>
      <w:tr w:rsidR="0055535A" w:rsidTr="0055535A">
        <w:trPr>
          <w:trHeight w:val="296"/>
        </w:trPr>
        <w:tc>
          <w:tcPr>
            <w:tcW w:w="0" w:type="auto"/>
            <w:gridSpan w:val="3"/>
            <w:vMerge/>
            <w:tcBorders>
              <w:top w:val="single" w:sz="8" w:space="0" w:color="auto"/>
              <w:left w:val="single" w:sz="8" w:space="0" w:color="auto"/>
              <w:bottom w:val="single" w:sz="4" w:space="0" w:color="auto"/>
              <w:right w:val="single" w:sz="8" w:space="0" w:color="000000"/>
            </w:tcBorders>
            <w:vAlign w:val="center"/>
            <w:hideMark/>
          </w:tcPr>
          <w:p w:rsidR="0055535A" w:rsidRDefault="0055535A">
            <w:pPr>
              <w:widowControl/>
              <w:suppressAutoHyphens w:val="0"/>
              <w:snapToGrid/>
              <w:rPr>
                <w:rFonts w:cs="Arial"/>
                <w:b/>
                <w:bCs/>
                <w:color w:val="000000"/>
                <w:sz w:val="18"/>
                <w:szCs w:val="18"/>
              </w:rPr>
            </w:pPr>
          </w:p>
        </w:tc>
        <w:tc>
          <w:tcPr>
            <w:tcW w:w="1310" w:type="dxa"/>
            <w:tcBorders>
              <w:top w:val="single" w:sz="8" w:space="0" w:color="auto"/>
              <w:left w:val="single" w:sz="8" w:space="0" w:color="auto"/>
              <w:bottom w:val="single" w:sz="4" w:space="0" w:color="auto"/>
              <w:right w:val="single" w:sz="8" w:space="0" w:color="000000"/>
            </w:tcBorders>
            <w:vAlign w:val="center"/>
          </w:tcPr>
          <w:p w:rsidR="0055535A" w:rsidRDefault="0055535A">
            <w:pPr>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hideMark/>
          </w:tcPr>
          <w:p w:rsidR="0055535A" w:rsidRDefault="0055535A">
            <w:pPr>
              <w:jc w:val="center"/>
              <w:rPr>
                <w:rFonts w:cs="Arial"/>
                <w:b/>
                <w:bCs/>
                <w:color w:val="000000"/>
                <w:szCs w:val="20"/>
              </w:rPr>
            </w:pPr>
            <w:r>
              <w:rPr>
                <w:rFonts w:cs="Arial"/>
                <w:b/>
                <w:bCs/>
                <w:color w:val="000000"/>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rsidR="0055535A" w:rsidRDefault="0055535A">
            <w:pPr>
              <w:jc w:val="center"/>
              <w:rPr>
                <w:rFonts w:cs="Arial"/>
                <w:b/>
                <w:bCs/>
                <w:color w:val="000000"/>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rsidR="0055535A" w:rsidRDefault="0055535A">
            <w:pPr>
              <w:rPr>
                <w:rFonts w:cs="Arial"/>
                <w:b/>
                <w:bCs/>
                <w:color w:val="000000"/>
                <w:szCs w:val="20"/>
              </w:rPr>
            </w:pP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2.1 Dans quelle mesure les inputs (finances, RH, biens &amp; équipements) sont-ils correctement gérés ?</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Tous les inputs sont disponibles à temps et dans les limites budgétaires.</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b/>
                <w:color w:val="000000"/>
                <w:sz w:val="18"/>
                <w:szCs w:val="18"/>
              </w:rPr>
            </w:pPr>
            <w:r>
              <w:rPr>
                <w:rFonts w:cs="Calibri"/>
                <w:b/>
                <w:color w:val="000000"/>
                <w:sz w:val="18"/>
                <w:szCs w:val="18"/>
              </w:rPr>
              <w:t>X</w:t>
            </w:r>
          </w:p>
        </w:tc>
        <w:tc>
          <w:tcPr>
            <w:tcW w:w="447"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plupart des inputs sont disponibles dans des délais raisonnables et ne nécessitent pas d’ajustements budgétaires considérables. Une certaine marge d’amélioration est cependant possible.</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disponibilité et l’utilisation des inputs posent des problèmes qui doivent être résolus, sans quoi les résultats pourraient courir certains risques.</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disponibilité et la gestion des inputs comportent de sérieuses lacunes qui menacent l’atteinte des résultats. Des changements considérables sont nécessaires.</w:t>
            </w: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2.2 Dans quelle mesure la mise en œuvre des activités est-elle correctement gérée ?</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Les activités sont mises en œuvre dans les délais.</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b/>
                <w:color w:val="000000"/>
                <w:sz w:val="18"/>
                <w:szCs w:val="18"/>
              </w:rPr>
            </w:pPr>
            <w:r>
              <w:rPr>
                <w:rFonts w:cs="Calibri"/>
                <w:b/>
                <w:color w:val="000000"/>
                <w:sz w:val="18"/>
                <w:szCs w:val="18"/>
              </w:rPr>
              <w:t>X</w:t>
            </w:r>
          </w:p>
        </w:tc>
        <w:tc>
          <w:tcPr>
            <w:tcW w:w="447"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plupart des activités sont dans les délais. Certaines sont retardées, mais cela n’a pas d’incidence sur la fourniture des outputs.</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Les activités sont retardées. Des mesures correctives sont nécessaires pour permettre la fourniture sans trop de retard.</w:t>
            </w:r>
          </w:p>
        </w:tc>
      </w:tr>
      <w:tr w:rsidR="0055535A" w:rsidTr="0055535A">
        <w:trPr>
          <w:trHeight w:val="315"/>
        </w:trPr>
        <w:tc>
          <w:tcPr>
            <w:tcW w:w="1499" w:type="dxa"/>
            <w:tcBorders>
              <w:top w:val="nil"/>
              <w:left w:val="single" w:sz="8" w:space="0" w:color="auto"/>
              <w:bottom w:val="single" w:sz="8"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8"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vAlign w:val="center"/>
            <w:hideMark/>
          </w:tcPr>
          <w:p w:rsidR="0055535A" w:rsidRDefault="0055535A">
            <w:pPr>
              <w:rPr>
                <w:rFonts w:cs="Arial"/>
                <w:color w:val="000000"/>
                <w:sz w:val="18"/>
                <w:szCs w:val="18"/>
              </w:rPr>
            </w:pPr>
            <w:r>
              <w:rPr>
                <w:color w:val="000000"/>
                <w:sz w:val="18"/>
              </w:rPr>
              <w:t>Les activités ont pris un sérieux retard. Des outputs ne pourront être fournis que moyennant des changements majeurs dans la planification.</w:t>
            </w: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2.3 Dans quelle mesure les outputs sont-ils correctement atteints ?</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Tous les outputs ont été et seront plus que vraisemblablement livrés dans les temps et de bonne qualité, ce qui contribuera aux outcomes planifiés.</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b/>
                <w:color w:val="000000"/>
                <w:sz w:val="18"/>
                <w:szCs w:val="18"/>
              </w:rPr>
            </w:pPr>
            <w:r>
              <w:rPr>
                <w:rFonts w:cs="Calibri"/>
                <w:b/>
                <w:color w:val="000000"/>
                <w:sz w:val="18"/>
                <w:szCs w:val="18"/>
              </w:rPr>
              <w:t>X</w:t>
            </w:r>
          </w:p>
        </w:tc>
        <w:tc>
          <w:tcPr>
            <w:tcW w:w="447"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Les outputs sont et seront plus que vraisemblablement livrés dans les temps, mais une certaine marge d’amélioration est possible en termes de qualité, de couverture et de timing.</w:t>
            </w:r>
          </w:p>
        </w:tc>
      </w:tr>
      <w:tr w:rsidR="0055535A" w:rsidTr="0055535A">
        <w:trPr>
          <w:trHeight w:val="510"/>
        </w:trPr>
        <w:tc>
          <w:tcPr>
            <w:tcW w:w="1499"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Certains outputs ne s(er)ont pas livrés à temps ou de bonne qualité. Des ajustements sont nécessaires.</w:t>
            </w:r>
          </w:p>
        </w:tc>
      </w:tr>
      <w:tr w:rsidR="0055535A" w:rsidTr="0055535A">
        <w:trPr>
          <w:trHeight w:val="315"/>
        </w:trPr>
        <w:tc>
          <w:tcPr>
            <w:tcW w:w="1499" w:type="dxa"/>
            <w:tcBorders>
              <w:top w:val="nil"/>
              <w:left w:val="single" w:sz="8" w:space="0" w:color="auto"/>
              <w:bottom w:val="single" w:sz="8"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7" w:type="dxa"/>
            <w:tcBorders>
              <w:top w:val="nil"/>
              <w:left w:val="nil"/>
              <w:bottom w:val="single" w:sz="8"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vAlign w:val="center"/>
            <w:hideMark/>
          </w:tcPr>
          <w:p w:rsidR="0055535A" w:rsidRDefault="0055535A">
            <w:pPr>
              <w:rPr>
                <w:rFonts w:cs="Arial"/>
                <w:color w:val="000000"/>
                <w:sz w:val="18"/>
                <w:szCs w:val="18"/>
              </w:rPr>
            </w:pPr>
            <w:r>
              <w:rPr>
                <w:color w:val="000000"/>
                <w:sz w:val="18"/>
              </w:rPr>
              <w:t>La qualité et la livraison des outputs comportent et comporteront plus que vraisemblablement de sérieuses lacunes. Des ajustements considérables sont nécessaires pour garantir au minimum que les outputs clés seront livrés à temps.</w:t>
            </w:r>
          </w:p>
        </w:tc>
      </w:tr>
    </w:tbl>
    <w:p w:rsidR="0055535A" w:rsidRDefault="0055535A" w:rsidP="0055535A"/>
    <w:p w:rsidR="0055535A" w:rsidRDefault="0055535A" w:rsidP="0055535A"/>
    <w:p w:rsidR="0055535A" w:rsidRDefault="0055535A" w:rsidP="0055535A"/>
    <w:tbl>
      <w:tblPr>
        <w:tblW w:w="9896" w:type="dxa"/>
        <w:tblInd w:w="-1003" w:type="dxa"/>
        <w:tblLook w:val="04A0" w:firstRow="1" w:lastRow="0" w:firstColumn="1" w:lastColumn="0" w:noHBand="0" w:noVBand="1"/>
      </w:tblPr>
      <w:tblGrid>
        <w:gridCol w:w="1493"/>
        <w:gridCol w:w="442"/>
        <w:gridCol w:w="2720"/>
        <w:gridCol w:w="1310"/>
        <w:gridCol w:w="1310"/>
        <w:gridCol w:w="1310"/>
        <w:gridCol w:w="1311"/>
      </w:tblGrid>
      <w:tr w:rsidR="0055535A" w:rsidTr="0055535A">
        <w:trPr>
          <w:trHeight w:val="596"/>
        </w:trPr>
        <w:tc>
          <w:tcPr>
            <w:tcW w:w="9896"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rsidR="0055535A" w:rsidRDefault="0055535A">
            <w:pPr>
              <w:pStyle w:val="CTBCorpsdetexte"/>
            </w:pPr>
            <w:r>
              <w:rPr>
                <w:b/>
                <w:color w:val="000000"/>
                <w:sz w:val="18"/>
              </w:rPr>
              <w:t>3. EFFICACITÉ JUSQU’À CE JOUR : le degré dans lequel l’outcome (objectif spécifique) est atteint, tel que prévu à la fin de l’année N</w:t>
            </w:r>
          </w:p>
        </w:tc>
      </w:tr>
      <w:tr w:rsidR="0055535A" w:rsidTr="0055535A">
        <w:trPr>
          <w:trHeight w:val="447"/>
        </w:trPr>
        <w:tc>
          <w:tcPr>
            <w:tcW w:w="9896" w:type="dxa"/>
            <w:gridSpan w:val="7"/>
            <w:tcBorders>
              <w:top w:val="single" w:sz="8" w:space="0" w:color="auto"/>
              <w:left w:val="single" w:sz="8" w:space="0" w:color="auto"/>
              <w:bottom w:val="single" w:sz="4" w:space="0" w:color="auto"/>
              <w:right w:val="single" w:sz="8" w:space="0" w:color="000000"/>
            </w:tcBorders>
            <w:hideMark/>
          </w:tcPr>
          <w:p w:rsidR="0055535A" w:rsidRDefault="0055535A">
            <w:r>
              <w:rPr>
                <w:i/>
                <w:color w:val="000000"/>
                <w:sz w:val="18"/>
              </w:rPr>
              <w:t>Procédez comme suit pour calculer la note totale du présent critère de qualité : Au moins un ‘A, pas de ‘C’ ni de ‘D’ = A; Deux fois un ‘B’ = B ; Au moins un ‘C, pas de ‘D’ = C ; Au moins un ‘D’ = D</w:t>
            </w:r>
          </w:p>
        </w:tc>
      </w:tr>
      <w:tr w:rsidR="0055535A" w:rsidTr="0055535A">
        <w:trPr>
          <w:trHeight w:val="358"/>
        </w:trPr>
        <w:tc>
          <w:tcPr>
            <w:tcW w:w="4655" w:type="dxa"/>
            <w:gridSpan w:val="3"/>
            <w:vMerge w:val="restart"/>
            <w:tcBorders>
              <w:top w:val="single" w:sz="8"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hideMark/>
          </w:tcPr>
          <w:p w:rsidR="0055535A" w:rsidRDefault="0055535A">
            <w:pPr>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hideMark/>
          </w:tcPr>
          <w:p w:rsidR="0055535A" w:rsidRDefault="0055535A">
            <w:pPr>
              <w:jc w:val="center"/>
              <w:rPr>
                <w:rFonts w:cs="Arial"/>
                <w:b/>
                <w:bCs/>
                <w:color w:val="000000"/>
              </w:rPr>
            </w:pPr>
            <w:r>
              <w:rPr>
                <w:b/>
                <w:color w:val="000000"/>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hideMark/>
          </w:tcPr>
          <w:p w:rsidR="0055535A" w:rsidRDefault="0055535A">
            <w:pPr>
              <w:jc w:val="center"/>
              <w:rPr>
                <w:rFonts w:cs="Arial"/>
                <w:b/>
                <w:bCs/>
                <w:color w:val="000000"/>
              </w:rPr>
            </w:pPr>
            <w:r>
              <w:rPr>
                <w:b/>
                <w:color w:val="000000"/>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hideMark/>
          </w:tcPr>
          <w:p w:rsidR="0055535A" w:rsidRDefault="0055535A">
            <w:pPr>
              <w:jc w:val="center"/>
              <w:rPr>
                <w:rFonts w:cs="Arial"/>
                <w:b/>
                <w:bCs/>
                <w:color w:val="000000"/>
              </w:rPr>
            </w:pPr>
            <w:r>
              <w:rPr>
                <w:b/>
                <w:color w:val="000000"/>
              </w:rPr>
              <w:t>D</w:t>
            </w:r>
          </w:p>
        </w:tc>
      </w:tr>
      <w:tr w:rsidR="0055535A" w:rsidTr="0055535A">
        <w:trPr>
          <w:trHeight w:val="296"/>
        </w:trPr>
        <w:tc>
          <w:tcPr>
            <w:tcW w:w="0" w:type="auto"/>
            <w:gridSpan w:val="3"/>
            <w:vMerge/>
            <w:tcBorders>
              <w:top w:val="single" w:sz="8" w:space="0" w:color="auto"/>
              <w:left w:val="single" w:sz="8" w:space="0" w:color="auto"/>
              <w:bottom w:val="single" w:sz="4" w:space="0" w:color="auto"/>
              <w:right w:val="single" w:sz="8" w:space="0" w:color="000000"/>
            </w:tcBorders>
            <w:vAlign w:val="center"/>
            <w:hideMark/>
          </w:tcPr>
          <w:p w:rsidR="0055535A" w:rsidRDefault="0055535A">
            <w:pPr>
              <w:widowControl/>
              <w:suppressAutoHyphens w:val="0"/>
              <w:snapToGrid/>
              <w:rPr>
                <w:rFonts w:cs="Arial"/>
                <w:b/>
                <w:bCs/>
                <w:color w:val="000000"/>
                <w:sz w:val="18"/>
                <w:szCs w:val="18"/>
              </w:rPr>
            </w:pPr>
          </w:p>
        </w:tc>
        <w:tc>
          <w:tcPr>
            <w:tcW w:w="1310" w:type="dxa"/>
            <w:tcBorders>
              <w:top w:val="single" w:sz="8" w:space="0" w:color="auto"/>
              <w:left w:val="single" w:sz="8" w:space="0" w:color="auto"/>
              <w:bottom w:val="single" w:sz="4" w:space="0" w:color="auto"/>
              <w:right w:val="single" w:sz="8" w:space="0" w:color="000000"/>
            </w:tcBorders>
            <w:vAlign w:val="center"/>
          </w:tcPr>
          <w:p w:rsidR="0055535A" w:rsidRDefault="0055535A">
            <w:pPr>
              <w:jc w:val="center"/>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hideMark/>
          </w:tcPr>
          <w:p w:rsidR="0055535A" w:rsidRDefault="0055535A">
            <w:pPr>
              <w:jc w:val="center"/>
              <w:rPr>
                <w:rFonts w:cs="Arial"/>
                <w:b/>
                <w:bCs/>
                <w:color w:val="000000"/>
                <w:szCs w:val="20"/>
              </w:rPr>
            </w:pPr>
            <w:r>
              <w:rPr>
                <w:rFonts w:cs="Arial"/>
                <w:b/>
                <w:bCs/>
                <w:color w:val="000000"/>
                <w:szCs w:val="20"/>
              </w:rPr>
              <w:t>X</w:t>
            </w:r>
          </w:p>
        </w:tc>
        <w:tc>
          <w:tcPr>
            <w:tcW w:w="1310" w:type="dxa"/>
            <w:tcBorders>
              <w:top w:val="single" w:sz="8" w:space="0" w:color="auto"/>
              <w:left w:val="single" w:sz="8" w:space="0" w:color="auto"/>
              <w:bottom w:val="single" w:sz="4" w:space="0" w:color="auto"/>
              <w:right w:val="single" w:sz="8" w:space="0" w:color="000000"/>
            </w:tcBorders>
            <w:vAlign w:val="center"/>
          </w:tcPr>
          <w:p w:rsidR="0055535A" w:rsidRDefault="0055535A">
            <w:pPr>
              <w:jc w:val="center"/>
              <w:rPr>
                <w:rFonts w:cs="Arial"/>
                <w:b/>
                <w:bCs/>
                <w:color w:val="000000"/>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rsidR="0055535A" w:rsidRDefault="0055535A">
            <w:pPr>
              <w:rPr>
                <w:rFonts w:cs="Arial"/>
                <w:b/>
                <w:bCs/>
                <w:color w:val="000000"/>
                <w:szCs w:val="20"/>
              </w:rPr>
            </w:pP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3.1 Tel qu’il est mis en œuvre actuellement, quelle est la probabilité que l'outcome soit réalisé ?</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réalisation totale de l'outcome est vraisemblable en termes de qualité et de couverture. Les résultats négatifs (s’il y en a) ont été atténués.</w:t>
            </w:r>
          </w:p>
        </w:tc>
      </w:tr>
      <w:tr w:rsidR="0055535A" w:rsidTr="0055535A">
        <w:trPr>
          <w:trHeight w:val="30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b/>
                <w:color w:val="000000"/>
                <w:sz w:val="18"/>
                <w:szCs w:val="18"/>
              </w:rPr>
            </w:pPr>
            <w:r>
              <w:rPr>
                <w:rFonts w:cs="Calibri"/>
                <w:b/>
                <w:color w:val="000000"/>
                <w:sz w:val="18"/>
                <w:szCs w:val="18"/>
              </w:rPr>
              <w:t>X</w:t>
            </w:r>
          </w:p>
        </w:tc>
        <w:tc>
          <w:tcPr>
            <w:tcW w:w="442"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L'outcome sera atteint avec quelques minimes restrictions ; les effets négatifs (s’il y en a) n’ont pas causé beaucoup de tort.</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55535A" w:rsidTr="0055535A">
        <w:trPr>
          <w:trHeight w:val="30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L'intervention n’atteindra pas son outcome, à moins que d’importantes mesures fondamentales soient prises.</w:t>
            </w: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 xml:space="preserve">3.2 Les activités et les outputs sont-ils adaptés (le cas échéant) dans l'optique de réaliser l'outcome ? </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w:t>
            </w:r>
            <w:r>
              <w:rPr>
                <w:sz w:val="18"/>
              </w:rPr>
              <w:t xml:space="preserve">ntervention </w:t>
            </w:r>
            <w:r>
              <w:rPr>
                <w:color w:val="000000"/>
                <w:sz w:val="18"/>
              </w:rPr>
              <w:t>réussit à adapter ses stratégies/activités et outputs en fonction de l’évolution des circonstances externes dans l’optique de réaliser l’outcome. Les risques et hypothèses sont gérés de manière proactive.</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b/>
                <w:color w:val="000000"/>
                <w:sz w:val="18"/>
                <w:szCs w:val="18"/>
              </w:rPr>
            </w:pPr>
            <w:r>
              <w:rPr>
                <w:rFonts w:cs="Calibri"/>
                <w:b/>
                <w:color w:val="000000"/>
                <w:sz w:val="18"/>
                <w:szCs w:val="18"/>
              </w:rPr>
              <w:t>X</w:t>
            </w:r>
          </w:p>
        </w:tc>
        <w:tc>
          <w:tcPr>
            <w:tcW w:w="442"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w:t>
            </w:r>
            <w:r>
              <w:rPr>
                <w:sz w:val="18"/>
              </w:rPr>
              <w:t xml:space="preserve">ntervention </w:t>
            </w:r>
            <w:r>
              <w:rPr>
                <w:color w:val="000000"/>
                <w:sz w:val="18"/>
              </w:rPr>
              <w:t>réussit relativement bien à adapter ses stratégies en fonction de l’évolution des circonstances externes dans l’optique de réaliser l’outcome. La gestion des risques est relativement passive.</w:t>
            </w:r>
          </w:p>
        </w:tc>
      </w:tr>
      <w:tr w:rsidR="0055535A" w:rsidTr="0055535A">
        <w:trPr>
          <w:trHeight w:val="765"/>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color w:val="000000"/>
                <w:sz w:val="18"/>
                <w:szCs w:val="18"/>
              </w:rPr>
            </w:pPr>
            <w:r>
              <w:rPr>
                <w:color w:val="000000"/>
                <w:sz w:val="18"/>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w:t>
            </w:r>
            <w:r>
              <w:rPr>
                <w:sz w:val="18"/>
              </w:rPr>
              <w:t xml:space="preserve">ntervention </w:t>
            </w:r>
            <w:r>
              <w:rPr>
                <w:color w:val="000000"/>
                <w:sz w:val="18"/>
              </w:rPr>
              <w:t>n’est pas totalement parvenue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55535A" w:rsidTr="0055535A">
        <w:trPr>
          <w:trHeight w:val="525"/>
        </w:trPr>
        <w:tc>
          <w:tcPr>
            <w:tcW w:w="1493" w:type="dxa"/>
            <w:tcBorders>
              <w:top w:val="nil"/>
              <w:left w:val="single" w:sz="8" w:space="0" w:color="auto"/>
              <w:bottom w:val="single" w:sz="8"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8"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vAlign w:val="center"/>
            <w:hideMark/>
          </w:tcPr>
          <w:p w:rsidR="0055535A" w:rsidRDefault="0055535A">
            <w:pPr>
              <w:rPr>
                <w:rFonts w:cs="Arial"/>
                <w:color w:val="000000"/>
                <w:sz w:val="18"/>
                <w:szCs w:val="18"/>
              </w:rPr>
            </w:pPr>
            <w:r>
              <w:rPr>
                <w:color w:val="000000"/>
                <w:sz w:val="18"/>
              </w:rPr>
              <w:t>L'i</w:t>
            </w:r>
            <w:r>
              <w:rPr>
                <w:sz w:val="18"/>
              </w:rPr>
              <w:t xml:space="preserve">ntervention </w:t>
            </w:r>
            <w:r>
              <w:rPr>
                <w:color w:val="000000"/>
                <w:sz w:val="18"/>
              </w:rPr>
              <w:t>n’est pas parvenue à réagir à l’évolution des circonstances externes ; la gestion des risques a été insuffisante. Des changements considérables sont nécessaires pour réaliser l’outcome.</w:t>
            </w:r>
          </w:p>
        </w:tc>
      </w:tr>
    </w:tbl>
    <w:p w:rsidR="0055535A" w:rsidRDefault="0055535A" w:rsidP="0055535A">
      <w:pPr>
        <w:rPr>
          <w:sz w:val="18"/>
          <w:szCs w:val="18"/>
        </w:rPr>
      </w:pPr>
    </w:p>
    <w:p w:rsidR="0055535A" w:rsidRDefault="0055535A" w:rsidP="0055535A">
      <w:pPr>
        <w:jc w:val="center"/>
        <w:rPr>
          <w:sz w:val="18"/>
          <w:szCs w:val="18"/>
        </w:rPr>
      </w:pPr>
    </w:p>
    <w:p w:rsidR="0055535A" w:rsidRDefault="0055535A" w:rsidP="0055535A">
      <w:pPr>
        <w:jc w:val="center"/>
        <w:rPr>
          <w:sz w:val="18"/>
          <w:szCs w:val="18"/>
        </w:rPr>
      </w:pPr>
    </w:p>
    <w:p w:rsidR="0055535A" w:rsidRDefault="0055535A" w:rsidP="0055535A">
      <w:pPr>
        <w:jc w:val="center"/>
        <w:rPr>
          <w:sz w:val="18"/>
          <w:szCs w:val="18"/>
        </w:rPr>
      </w:pPr>
    </w:p>
    <w:p w:rsidR="0055535A" w:rsidRDefault="0055535A" w:rsidP="0055535A">
      <w:pPr>
        <w:jc w:val="center"/>
        <w:rPr>
          <w:sz w:val="18"/>
          <w:szCs w:val="18"/>
        </w:rPr>
      </w:pPr>
    </w:p>
    <w:p w:rsidR="0055535A" w:rsidRDefault="0055535A" w:rsidP="0055535A">
      <w:pPr>
        <w:jc w:val="center"/>
        <w:rPr>
          <w:sz w:val="18"/>
          <w:szCs w:val="18"/>
        </w:rPr>
      </w:pPr>
    </w:p>
    <w:p w:rsidR="0055535A" w:rsidRDefault="0055535A" w:rsidP="0055535A">
      <w:pPr>
        <w:jc w:val="center"/>
        <w:rPr>
          <w:sz w:val="18"/>
          <w:szCs w:val="18"/>
        </w:rPr>
      </w:pPr>
    </w:p>
    <w:p w:rsidR="0055535A" w:rsidRDefault="0055535A" w:rsidP="0055535A">
      <w:pPr>
        <w:jc w:val="center"/>
        <w:rPr>
          <w:sz w:val="18"/>
          <w:szCs w:val="18"/>
        </w:rPr>
      </w:pPr>
    </w:p>
    <w:p w:rsidR="0055535A" w:rsidRDefault="0055535A" w:rsidP="0055535A">
      <w:pPr>
        <w:rPr>
          <w:sz w:val="18"/>
          <w:szCs w:val="18"/>
        </w:rPr>
      </w:pPr>
    </w:p>
    <w:tbl>
      <w:tblPr>
        <w:tblW w:w="9896" w:type="dxa"/>
        <w:tblInd w:w="-1003" w:type="dxa"/>
        <w:tblLook w:val="04A0" w:firstRow="1" w:lastRow="0" w:firstColumn="1" w:lastColumn="0" w:noHBand="0" w:noVBand="1"/>
      </w:tblPr>
      <w:tblGrid>
        <w:gridCol w:w="1493"/>
        <w:gridCol w:w="442"/>
        <w:gridCol w:w="2720"/>
        <w:gridCol w:w="1310"/>
        <w:gridCol w:w="1310"/>
        <w:gridCol w:w="1310"/>
        <w:gridCol w:w="1311"/>
      </w:tblGrid>
      <w:tr w:rsidR="0055535A" w:rsidTr="0055535A">
        <w:trPr>
          <w:trHeight w:val="596"/>
        </w:trPr>
        <w:tc>
          <w:tcPr>
            <w:tcW w:w="9896"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rsidR="0055535A" w:rsidRDefault="0055535A">
            <w:pPr>
              <w:pStyle w:val="CTBCorpsdetexte"/>
            </w:pPr>
            <w:r>
              <w:rPr>
                <w:b/>
                <w:color w:val="000000"/>
                <w:sz w:val="18"/>
              </w:rPr>
              <w:t>4. DURABILITÉ POTENTIELLE : le degré de probabilité de préserver et reproduire les bénéfices d’une intervention sur le long terme (au-delà de la période de mise en œuvre de l’intervention).</w:t>
            </w:r>
          </w:p>
        </w:tc>
      </w:tr>
      <w:tr w:rsidR="0055535A" w:rsidTr="0055535A">
        <w:trPr>
          <w:trHeight w:val="447"/>
        </w:trPr>
        <w:tc>
          <w:tcPr>
            <w:tcW w:w="9896" w:type="dxa"/>
            <w:gridSpan w:val="7"/>
            <w:tcBorders>
              <w:top w:val="single" w:sz="8" w:space="0" w:color="auto"/>
              <w:left w:val="single" w:sz="8" w:space="0" w:color="auto"/>
              <w:bottom w:val="single" w:sz="4" w:space="0" w:color="auto"/>
              <w:right w:val="single" w:sz="8" w:space="0" w:color="000000"/>
            </w:tcBorders>
            <w:hideMark/>
          </w:tcPr>
          <w:p w:rsidR="0055535A" w:rsidRDefault="0055535A">
            <w:r>
              <w:rPr>
                <w:i/>
                <w:color w:val="000000"/>
                <w:sz w:val="18"/>
              </w:rPr>
              <w:t>Procédez comme suit pour calculer la note totale du présent critère de qualité : Au moins 3 ‘A, pas de ‘C’ ni de ‘D’ = A; Maximum 2 ‘C’, pas de ‘D’ = B ; Au moins 3 ‘C, pas de ‘D’ = C ; Au moins un ‘D’ = D</w:t>
            </w:r>
          </w:p>
        </w:tc>
      </w:tr>
      <w:tr w:rsidR="0055535A" w:rsidTr="0055535A">
        <w:trPr>
          <w:trHeight w:val="358"/>
        </w:trPr>
        <w:tc>
          <w:tcPr>
            <w:tcW w:w="4655" w:type="dxa"/>
            <w:gridSpan w:val="3"/>
            <w:vMerge w:val="restart"/>
            <w:tcBorders>
              <w:top w:val="single" w:sz="8"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hideMark/>
          </w:tcPr>
          <w:p w:rsidR="0055535A" w:rsidRDefault="0055535A">
            <w:pPr>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hideMark/>
          </w:tcPr>
          <w:p w:rsidR="0055535A" w:rsidRDefault="0055535A">
            <w:pPr>
              <w:jc w:val="center"/>
              <w:rPr>
                <w:rFonts w:cs="Arial"/>
                <w:b/>
                <w:bCs/>
                <w:color w:val="000000"/>
              </w:rPr>
            </w:pPr>
            <w:r>
              <w:rPr>
                <w:b/>
                <w:color w:val="000000"/>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hideMark/>
          </w:tcPr>
          <w:p w:rsidR="0055535A" w:rsidRDefault="0055535A">
            <w:pPr>
              <w:jc w:val="center"/>
              <w:rPr>
                <w:rFonts w:cs="Arial"/>
                <w:b/>
                <w:bCs/>
                <w:color w:val="000000"/>
              </w:rPr>
            </w:pPr>
            <w:r>
              <w:rPr>
                <w:b/>
                <w:color w:val="000000"/>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hideMark/>
          </w:tcPr>
          <w:p w:rsidR="0055535A" w:rsidRDefault="0055535A">
            <w:pPr>
              <w:jc w:val="center"/>
              <w:rPr>
                <w:rFonts w:cs="Arial"/>
                <w:b/>
                <w:bCs/>
                <w:color w:val="000000"/>
              </w:rPr>
            </w:pPr>
            <w:r>
              <w:rPr>
                <w:b/>
                <w:color w:val="000000"/>
              </w:rPr>
              <w:t>D</w:t>
            </w:r>
          </w:p>
        </w:tc>
      </w:tr>
      <w:tr w:rsidR="0055535A" w:rsidTr="0055535A">
        <w:trPr>
          <w:trHeight w:val="296"/>
        </w:trPr>
        <w:tc>
          <w:tcPr>
            <w:tcW w:w="0" w:type="auto"/>
            <w:gridSpan w:val="3"/>
            <w:vMerge/>
            <w:tcBorders>
              <w:top w:val="single" w:sz="8" w:space="0" w:color="auto"/>
              <w:left w:val="single" w:sz="8" w:space="0" w:color="auto"/>
              <w:bottom w:val="single" w:sz="4" w:space="0" w:color="auto"/>
              <w:right w:val="single" w:sz="8" w:space="0" w:color="000000"/>
            </w:tcBorders>
            <w:vAlign w:val="center"/>
            <w:hideMark/>
          </w:tcPr>
          <w:p w:rsidR="0055535A" w:rsidRDefault="0055535A">
            <w:pPr>
              <w:widowControl/>
              <w:suppressAutoHyphens w:val="0"/>
              <w:snapToGrid/>
              <w:rPr>
                <w:rFonts w:cs="Arial"/>
                <w:b/>
                <w:bCs/>
                <w:color w:val="000000"/>
                <w:sz w:val="18"/>
                <w:szCs w:val="18"/>
              </w:rPr>
            </w:pPr>
          </w:p>
        </w:tc>
        <w:tc>
          <w:tcPr>
            <w:tcW w:w="1310" w:type="dxa"/>
            <w:tcBorders>
              <w:top w:val="single" w:sz="8" w:space="0" w:color="auto"/>
              <w:left w:val="single" w:sz="8" w:space="0" w:color="auto"/>
              <w:bottom w:val="single" w:sz="4" w:space="0" w:color="auto"/>
              <w:right w:val="single" w:sz="8" w:space="0" w:color="000000"/>
            </w:tcBorders>
            <w:vAlign w:val="center"/>
          </w:tcPr>
          <w:p w:rsidR="0055535A" w:rsidRDefault="0055535A">
            <w:pPr>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rsidR="0055535A" w:rsidRDefault="0055535A">
            <w:pPr>
              <w:jc w:val="center"/>
              <w:rPr>
                <w:rFonts w:cs="Arial"/>
                <w:b/>
                <w:bCs/>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hideMark/>
          </w:tcPr>
          <w:p w:rsidR="0055535A" w:rsidRDefault="0055535A">
            <w:pPr>
              <w:jc w:val="center"/>
              <w:rPr>
                <w:rFonts w:cs="Arial"/>
                <w:b/>
                <w:bCs/>
                <w:color w:val="000000"/>
                <w:szCs w:val="20"/>
              </w:rPr>
            </w:pPr>
            <w:r>
              <w:rPr>
                <w:rFonts w:cs="Arial"/>
                <w:b/>
                <w:bCs/>
                <w:color w:val="000000"/>
                <w:szCs w:val="20"/>
              </w:rPr>
              <w:t>X</w:t>
            </w:r>
          </w:p>
        </w:tc>
        <w:tc>
          <w:tcPr>
            <w:tcW w:w="1311" w:type="dxa"/>
            <w:tcBorders>
              <w:top w:val="single" w:sz="8" w:space="0" w:color="auto"/>
              <w:left w:val="single" w:sz="8" w:space="0" w:color="auto"/>
              <w:bottom w:val="single" w:sz="4" w:space="0" w:color="auto"/>
              <w:right w:val="single" w:sz="8" w:space="0" w:color="000000"/>
            </w:tcBorders>
            <w:vAlign w:val="center"/>
          </w:tcPr>
          <w:p w:rsidR="0055535A" w:rsidRDefault="0055535A">
            <w:pPr>
              <w:jc w:val="center"/>
              <w:rPr>
                <w:rFonts w:cs="Arial"/>
                <w:b/>
                <w:bCs/>
                <w:color w:val="000000"/>
                <w:szCs w:val="20"/>
              </w:rPr>
            </w:pP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 xml:space="preserve">4.1 Durabilité financière/économique ? </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durabilité financière/économique est potentiellement très bonne : les frais liés aux services et à la maintenance sont couverts ou raisonnables ; les facteurs externes n’auront aucune incidence sur celle-ci.</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durabilité financière/économique sera vraisemblablement bonne, mais des problèmes peuvent survenir en raison notamment de l’évolution de facteurs économiques externes.</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b/>
                <w:color w:val="000000"/>
                <w:sz w:val="18"/>
                <w:szCs w:val="18"/>
              </w:rPr>
            </w:pPr>
            <w:r>
              <w:rPr>
                <w:rFonts w:cs="Calibri"/>
                <w:b/>
                <w:color w:val="000000"/>
                <w:sz w:val="18"/>
                <w:szCs w:val="18"/>
              </w:rPr>
              <w:t>X</w:t>
            </w:r>
          </w:p>
        </w:tc>
        <w:tc>
          <w:tcPr>
            <w:tcW w:w="442"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Les problèmes doivent être traités en ce qui concerne la durabilité financière soit en termes de frais institutionnels ou liés aux groupes cibles, ou encore d’évolution du contexte économique.</w:t>
            </w:r>
          </w:p>
        </w:tc>
      </w:tr>
      <w:tr w:rsidR="0055535A" w:rsidTr="0055535A">
        <w:trPr>
          <w:trHeight w:val="30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durabilité financière/économique est très discutable, à moins que n’interviennent des changements majeurs.</w:t>
            </w: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 xml:space="preserve">4.2 Quel est le degré d’appropriation de l'intervention par les groupes cibles et persistera-t-il au terme de l’assistance externe ? </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Le Comité de pilotage et d’autres structures locales pertinentes sont fortement impliqués à tous les stades de la mise en œuvre et s’engagent à continuer à produire et utiliser des résultats.</w:t>
            </w:r>
          </w:p>
        </w:tc>
      </w:tr>
      <w:tr w:rsidR="0055535A" w:rsidTr="0055535A">
        <w:trPr>
          <w:trHeight w:val="765"/>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color w:val="000000"/>
                <w:sz w:val="18"/>
                <w:szCs w:val="18"/>
              </w:rPr>
            </w:pPr>
            <w:r>
              <w:rPr>
                <w:rFonts w:cs="Calibri"/>
                <w:b/>
                <w:color w:val="000000"/>
                <w:sz w:val="18"/>
                <w:szCs w:val="18"/>
              </w:rPr>
              <w:t>X</w:t>
            </w:r>
          </w:p>
        </w:tc>
        <w:tc>
          <w:tcPr>
            <w:tcW w:w="442"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w:t>
            </w:r>
            <w:r>
              <w:rPr>
                <w:sz w:val="18"/>
              </w:rPr>
              <w:t xml:space="preserve">ntervention </w:t>
            </w:r>
            <w:r>
              <w:rPr>
                <w:color w:val="000000"/>
                <w:sz w:val="18"/>
              </w:rPr>
              <w:t>recourt principalement à des arrangements ponctuels et au Comité de pilotage et d’autres structures locales pertinentes en vue de garantir la durabilité. La continuité des résultats n’est pas garantie. Des mesures correctives sont requises.</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w:t>
            </w:r>
            <w:r>
              <w:rPr>
                <w:sz w:val="18"/>
              </w:rPr>
              <w:t xml:space="preserve">ntervention </w:t>
            </w:r>
            <w:r>
              <w:rPr>
                <w:color w:val="000000"/>
                <w:sz w:val="18"/>
              </w:rPr>
              <w:t>dépend totalement des structures ponctuelles n’offrant aucune perspective de durabilité. Des changements fondamentaux sont requis pour garantir la durabilité.</w:t>
            </w: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4.3 Quels sont le niveau d’appui politique fourni et le degré d’interaction entre l'intervention et le niveau politique ?</w:t>
            </w:r>
          </w:p>
        </w:tc>
      </w:tr>
      <w:tr w:rsidR="0055535A" w:rsidTr="0055535A">
        <w:trPr>
          <w:trHeight w:val="30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L'intervention bénéficie de l’appui intégral de la politique et des institutions, et cet appui se poursuivra.</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L'intervention a bénéficié, en général, de l’appui de la politique et des institutions chargées de la mettre en œuvre, ou à tout le moins n’a pas été gênée par ceux-ci, et cet appui se poursuivra vraisemblablement.</w:t>
            </w:r>
          </w:p>
        </w:tc>
      </w:tr>
      <w:tr w:rsidR="0055535A" w:rsidTr="0055535A">
        <w:trPr>
          <w:trHeight w:val="30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color w:val="000000"/>
                <w:sz w:val="18"/>
                <w:szCs w:val="18"/>
              </w:rPr>
            </w:pPr>
            <w:r>
              <w:rPr>
                <w:rFonts w:cs="Calibri"/>
                <w:b/>
                <w:color w:val="000000"/>
                <w:sz w:val="18"/>
                <w:szCs w:val="18"/>
              </w:rPr>
              <w:t>X</w:t>
            </w:r>
          </w:p>
        </w:tc>
        <w:tc>
          <w:tcPr>
            <w:tcW w:w="442"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durabilité de l'intervention est limitée par l’absence d’appui politique. Des mesures correctives sont requises.</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Les politiques ont été et seront vraisemblablement en contradiction avec l'i</w:t>
            </w:r>
            <w:r>
              <w:rPr>
                <w:sz w:val="18"/>
              </w:rPr>
              <w:t>ntervention</w:t>
            </w:r>
            <w:r>
              <w:rPr>
                <w:color w:val="000000"/>
                <w:sz w:val="18"/>
              </w:rPr>
              <w:t>. Des changements fondamentaux s’avèrent nécessaires pour garantir la durabilité de l'intervention.</w:t>
            </w:r>
          </w:p>
        </w:tc>
      </w:tr>
      <w:tr w:rsidR="0055535A" w:rsidTr="0055535A">
        <w:trPr>
          <w:trHeight w:val="300"/>
        </w:trPr>
        <w:tc>
          <w:tcPr>
            <w:tcW w:w="9896" w:type="dxa"/>
            <w:gridSpan w:val="7"/>
            <w:tcBorders>
              <w:top w:val="single" w:sz="4" w:space="0" w:color="auto"/>
              <w:left w:val="single" w:sz="8" w:space="0" w:color="auto"/>
              <w:bottom w:val="single" w:sz="4" w:space="0" w:color="auto"/>
              <w:right w:val="single" w:sz="8" w:space="0" w:color="000000"/>
            </w:tcBorders>
            <w:vAlign w:val="center"/>
            <w:hideMark/>
          </w:tcPr>
          <w:p w:rsidR="0055535A" w:rsidRDefault="0055535A">
            <w:pPr>
              <w:rPr>
                <w:rFonts w:cs="Arial"/>
                <w:b/>
                <w:bCs/>
                <w:color w:val="000000"/>
                <w:sz w:val="18"/>
                <w:szCs w:val="18"/>
              </w:rPr>
            </w:pPr>
            <w:r>
              <w:rPr>
                <w:b/>
                <w:color w:val="000000"/>
                <w:sz w:val="18"/>
              </w:rPr>
              <w:t>4.4 Dans quelle mesure l'intervention contribue-t-elle à la capacité institutionnelle et de gestion ?</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00FF00"/>
            <w:vAlign w:val="center"/>
            <w:hideMark/>
          </w:tcPr>
          <w:p w:rsidR="0055535A" w:rsidRDefault="0055535A">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L'intervention est intégrée aux structures institutionnelles et a contribué à l’amélioration de la capacité institutionnelle et de gestion (même si ce n’est pas là un objectif explicite).</w:t>
            </w:r>
          </w:p>
        </w:tc>
      </w:tr>
      <w:tr w:rsidR="0055535A" w:rsidTr="0055535A">
        <w:trPr>
          <w:trHeight w:val="765"/>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4" w:space="0" w:color="auto"/>
              <w:right w:val="single" w:sz="4" w:space="0" w:color="auto"/>
            </w:tcBorders>
            <w:shd w:val="clear" w:color="auto" w:fill="FFFF00"/>
            <w:vAlign w:val="center"/>
            <w:hideMark/>
          </w:tcPr>
          <w:p w:rsidR="0055535A" w:rsidRDefault="0055535A">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55535A" w:rsidTr="0055535A">
        <w:trPr>
          <w:trHeight w:val="510"/>
        </w:trPr>
        <w:tc>
          <w:tcPr>
            <w:tcW w:w="1493" w:type="dxa"/>
            <w:tcBorders>
              <w:top w:val="nil"/>
              <w:left w:val="single" w:sz="8" w:space="0" w:color="auto"/>
              <w:bottom w:val="single" w:sz="4" w:space="0" w:color="auto"/>
              <w:right w:val="single" w:sz="4" w:space="0" w:color="auto"/>
            </w:tcBorders>
            <w:noWrap/>
            <w:vAlign w:val="center"/>
            <w:hideMark/>
          </w:tcPr>
          <w:p w:rsidR="0055535A" w:rsidRDefault="0055535A">
            <w:pPr>
              <w:jc w:val="center"/>
              <w:rPr>
                <w:rFonts w:cs="Calibri"/>
                <w:color w:val="000000"/>
                <w:sz w:val="18"/>
                <w:szCs w:val="18"/>
              </w:rPr>
            </w:pPr>
            <w:r>
              <w:rPr>
                <w:rFonts w:cs="Calibri"/>
                <w:b/>
                <w:color w:val="000000"/>
                <w:sz w:val="18"/>
                <w:szCs w:val="18"/>
              </w:rPr>
              <w:t>X</w:t>
            </w:r>
          </w:p>
        </w:tc>
        <w:tc>
          <w:tcPr>
            <w:tcW w:w="442" w:type="dxa"/>
            <w:tcBorders>
              <w:top w:val="nil"/>
              <w:left w:val="nil"/>
              <w:bottom w:val="single" w:sz="4" w:space="0" w:color="auto"/>
              <w:right w:val="single" w:sz="4" w:space="0" w:color="auto"/>
            </w:tcBorders>
            <w:shd w:val="clear" w:color="auto" w:fill="FF9900"/>
            <w:vAlign w:val="center"/>
            <w:hideMark/>
          </w:tcPr>
          <w:p w:rsidR="0055535A" w:rsidRDefault="0055535A">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vAlign w:val="center"/>
            <w:hideMark/>
          </w:tcPr>
          <w:p w:rsidR="0055535A" w:rsidRDefault="0055535A">
            <w:pPr>
              <w:rPr>
                <w:rFonts w:cs="Arial"/>
                <w:color w:val="000000"/>
                <w:sz w:val="18"/>
                <w:szCs w:val="18"/>
              </w:rPr>
            </w:pPr>
            <w:r>
              <w:rPr>
                <w:color w:val="000000"/>
                <w:sz w:val="18"/>
              </w:rPr>
              <w:t>L'intervention repose trop sur des structures ponctuelles plutôt que sur des institutions ; le renforcement des capacités n’a pas suffi à garantir pleinement la durabilité. Des mesures correctives sont requises.</w:t>
            </w:r>
          </w:p>
        </w:tc>
      </w:tr>
      <w:tr w:rsidR="0055535A" w:rsidTr="0055535A">
        <w:trPr>
          <w:trHeight w:val="525"/>
        </w:trPr>
        <w:tc>
          <w:tcPr>
            <w:tcW w:w="1493" w:type="dxa"/>
            <w:tcBorders>
              <w:top w:val="nil"/>
              <w:left w:val="single" w:sz="8" w:space="0" w:color="auto"/>
              <w:bottom w:val="single" w:sz="8" w:space="0" w:color="auto"/>
              <w:right w:val="single" w:sz="4" w:space="0" w:color="auto"/>
            </w:tcBorders>
            <w:noWrap/>
            <w:vAlign w:val="center"/>
            <w:hideMark/>
          </w:tcPr>
          <w:p w:rsidR="0055535A" w:rsidRDefault="0055535A">
            <w:pPr>
              <w:widowControl/>
              <w:suppressAutoHyphens w:val="0"/>
              <w:snapToGrid/>
              <w:rPr>
                <w:rFonts w:ascii="Times New Roman" w:hAnsi="Times New Roman"/>
                <w:kern w:val="0"/>
                <w:sz w:val="20"/>
                <w:szCs w:val="20"/>
                <w:lang w:val="en-US" w:eastAsia="en-US"/>
              </w:rPr>
            </w:pPr>
          </w:p>
        </w:tc>
        <w:tc>
          <w:tcPr>
            <w:tcW w:w="442" w:type="dxa"/>
            <w:tcBorders>
              <w:top w:val="nil"/>
              <w:left w:val="nil"/>
              <w:bottom w:val="single" w:sz="8" w:space="0" w:color="auto"/>
              <w:right w:val="single" w:sz="4" w:space="0" w:color="auto"/>
            </w:tcBorders>
            <w:shd w:val="clear" w:color="auto" w:fill="FF0000"/>
            <w:vAlign w:val="center"/>
            <w:hideMark/>
          </w:tcPr>
          <w:p w:rsidR="0055535A" w:rsidRDefault="0055535A">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vAlign w:val="center"/>
            <w:hideMark/>
          </w:tcPr>
          <w:p w:rsidR="0055535A" w:rsidRDefault="0055535A">
            <w:pPr>
              <w:rPr>
                <w:rFonts w:cs="Arial"/>
                <w:color w:val="000000"/>
                <w:sz w:val="18"/>
                <w:szCs w:val="18"/>
              </w:rPr>
            </w:pPr>
            <w:r>
              <w:rPr>
                <w:color w:val="000000"/>
                <w:sz w:val="18"/>
              </w:rPr>
              <w:t>L'intervention repose sur des structures ponctuelles et un transfert de compétences vers des institutions existantes, qui permettrait de garantir la durabilité, est improbable à moins que des changements fondamentaux n’interviennent.</w:t>
            </w:r>
          </w:p>
        </w:tc>
      </w:tr>
    </w:tbl>
    <w:p w:rsidR="0055535A" w:rsidRDefault="0055535A" w:rsidP="0055535A">
      <w:pPr>
        <w:widowControl/>
        <w:suppressAutoHyphens w:val="0"/>
        <w:snapToGrid/>
        <w:rPr>
          <w:rFonts w:ascii="Times New Roman" w:hAnsi="Times New Roman"/>
        </w:rPr>
        <w:sectPr w:rsidR="0055535A">
          <w:type w:val="continuous"/>
          <w:pgSz w:w="11905" w:h="16837"/>
          <w:pgMar w:top="993" w:right="1418" w:bottom="1514" w:left="2552" w:header="708" w:footer="907" w:gutter="0"/>
          <w:cols w:space="720"/>
        </w:sectPr>
      </w:pPr>
    </w:p>
    <w:p w:rsidR="0055535A" w:rsidRDefault="0055535A" w:rsidP="0055535A">
      <w:pPr>
        <w:pStyle w:val="Normalcentr"/>
        <w:jc w:val="both"/>
      </w:pPr>
    </w:p>
    <w:p w:rsidR="0055535A" w:rsidRDefault="0055535A" w:rsidP="0055535A">
      <w:pPr>
        <w:pStyle w:val="Normalcentr"/>
        <w:jc w:val="both"/>
      </w:pPr>
    </w:p>
    <w:p w:rsidR="0055535A" w:rsidRDefault="0055535A" w:rsidP="0055535A">
      <w:pPr>
        <w:pStyle w:val="Normalcentr"/>
        <w:jc w:val="both"/>
      </w:pPr>
    </w:p>
    <w:p w:rsidR="0055535A" w:rsidRDefault="0055535A" w:rsidP="0055535A">
      <w:pPr>
        <w:pStyle w:val="Normalcentr"/>
        <w:jc w:val="both"/>
      </w:pPr>
    </w:p>
    <w:p w:rsidR="0055535A" w:rsidRDefault="0055535A" w:rsidP="0055535A">
      <w:pPr>
        <w:pStyle w:val="Normalcentr"/>
        <w:jc w:val="both"/>
      </w:pPr>
    </w:p>
    <w:p w:rsidR="0055535A" w:rsidRDefault="0055535A" w:rsidP="0055535A"/>
    <w:p w:rsidR="0055535A" w:rsidRDefault="0055535A" w:rsidP="0055535A">
      <w:pPr>
        <w:widowControl/>
        <w:suppressAutoHyphens w:val="0"/>
        <w:snapToGrid/>
        <w:rPr>
          <w:snapToGrid w:val="0"/>
        </w:rPr>
        <w:sectPr w:rsidR="0055535A">
          <w:type w:val="continuous"/>
          <w:pgSz w:w="11905" w:h="16837"/>
          <w:pgMar w:top="2552" w:right="1418" w:bottom="1514" w:left="2552" w:header="708" w:footer="907" w:gutter="0"/>
          <w:cols w:space="720"/>
          <w:formProt w:val="0"/>
        </w:sectPr>
      </w:pPr>
    </w:p>
    <w:p w:rsidR="0055535A" w:rsidRDefault="0055535A" w:rsidP="0055535A">
      <w:pPr>
        <w:pStyle w:val="Titre2"/>
        <w:numPr>
          <w:ilvl w:val="0"/>
          <w:numId w:val="0"/>
        </w:numPr>
        <w:tabs>
          <w:tab w:val="left" w:pos="708"/>
        </w:tabs>
        <w:rPr>
          <w:color w:val="FF0000"/>
        </w:rPr>
      </w:pPr>
      <w:bookmarkStart w:id="196" w:name="_Toc370814220"/>
      <w:bookmarkStart w:id="197" w:name="_Toc370814296"/>
      <w:bookmarkStart w:id="198" w:name="_Toc475972213"/>
      <w:bookmarkStart w:id="199" w:name="_Toc305765874"/>
      <w:r>
        <w:t xml:space="preserve">4.2 </w:t>
      </w:r>
      <w:bookmarkStart w:id="200" w:name="_Toc411938887"/>
      <w:r>
        <w:t xml:space="preserve">Décisions prises par le Comité de pilotage et / ou </w:t>
      </w:r>
      <w:bookmarkEnd w:id="196"/>
      <w:bookmarkEnd w:id="197"/>
      <w:bookmarkEnd w:id="200"/>
      <w:r>
        <w:t>équivalent (CVI)</w:t>
      </w:r>
      <w:bookmarkEnd w:id="198"/>
      <w:r>
        <w:t xml:space="preserve"> </w:t>
      </w:r>
    </w:p>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p w:rsidR="0055535A" w:rsidRDefault="0055535A" w:rsidP="0055535A"/>
    <w:tbl>
      <w:tblPr>
        <w:tblpPr w:leftFromText="141" w:rightFromText="141" w:vertAnchor="page" w:horzAnchor="margin" w:tblpY="3571"/>
        <w:tblW w:w="11518" w:type="dxa"/>
        <w:tblCellMar>
          <w:left w:w="70" w:type="dxa"/>
          <w:right w:w="70" w:type="dxa"/>
        </w:tblCellMar>
        <w:tblLook w:val="04A0" w:firstRow="1" w:lastRow="0" w:firstColumn="1" w:lastColumn="0" w:noHBand="0" w:noVBand="1"/>
      </w:tblPr>
      <w:tblGrid>
        <w:gridCol w:w="363"/>
        <w:gridCol w:w="3162"/>
        <w:gridCol w:w="999"/>
        <w:gridCol w:w="2661"/>
        <w:gridCol w:w="594"/>
        <w:gridCol w:w="880"/>
        <w:gridCol w:w="2859"/>
      </w:tblGrid>
      <w:tr w:rsidR="0055535A" w:rsidTr="0055535A">
        <w:trPr>
          <w:trHeight w:val="260"/>
        </w:trPr>
        <w:tc>
          <w:tcPr>
            <w:tcW w:w="363" w:type="dxa"/>
            <w:noWrap/>
            <w:vAlign w:val="bottom"/>
            <w:hideMark/>
          </w:tcPr>
          <w:p w:rsidR="0055535A" w:rsidRDefault="0055535A">
            <w:pPr>
              <w:widowControl/>
              <w:suppressAutoHyphens w:val="0"/>
              <w:snapToGrid/>
              <w:rPr>
                <w:rFonts w:ascii="Times New Roman" w:hAnsi="Times New Roman"/>
                <w:kern w:val="0"/>
                <w:sz w:val="20"/>
                <w:szCs w:val="20"/>
                <w:lang w:val="en-US" w:eastAsia="en-US"/>
              </w:rPr>
            </w:pPr>
          </w:p>
        </w:tc>
        <w:tc>
          <w:tcPr>
            <w:tcW w:w="3162" w:type="dxa"/>
            <w:tcBorders>
              <w:top w:val="nil"/>
              <w:left w:val="single" w:sz="8" w:space="0" w:color="auto"/>
              <w:bottom w:val="single" w:sz="4" w:space="0" w:color="auto"/>
              <w:right w:val="nil"/>
            </w:tcBorders>
            <w:shd w:val="clear" w:color="auto" w:fill="4F81BD"/>
            <w:vAlign w:val="bottom"/>
            <w:hideMark/>
          </w:tcPr>
          <w:p w:rsidR="0055535A" w:rsidRDefault="0055535A">
            <w:pPr>
              <w:widowControl/>
              <w:suppressAutoHyphens w:val="0"/>
              <w:rPr>
                <w:rFonts w:cs="Arial"/>
                <w:b/>
                <w:bCs/>
                <w:color w:val="FFFFFF"/>
                <w:kern w:val="0"/>
                <w:sz w:val="20"/>
                <w:szCs w:val="20"/>
                <w:lang w:val="fr-BE" w:eastAsia="fr-BE"/>
              </w:rPr>
            </w:pPr>
            <w:r>
              <w:rPr>
                <w:rFonts w:cs="Arial"/>
                <w:b/>
                <w:bCs/>
                <w:color w:val="FFFFFF"/>
                <w:kern w:val="0"/>
                <w:sz w:val="20"/>
                <w:szCs w:val="20"/>
                <w:lang w:val="fr-BE" w:eastAsia="fr-BE"/>
              </w:rPr>
              <w:t>Décision</w:t>
            </w:r>
          </w:p>
        </w:tc>
        <w:tc>
          <w:tcPr>
            <w:tcW w:w="999" w:type="dxa"/>
            <w:tcBorders>
              <w:top w:val="nil"/>
              <w:left w:val="nil"/>
              <w:bottom w:val="single" w:sz="4" w:space="0" w:color="auto"/>
              <w:right w:val="nil"/>
            </w:tcBorders>
            <w:shd w:val="clear" w:color="auto" w:fill="4F81BD"/>
            <w:noWrap/>
            <w:vAlign w:val="bottom"/>
            <w:hideMark/>
          </w:tcPr>
          <w:p w:rsidR="0055535A" w:rsidRDefault="0055535A">
            <w:pPr>
              <w:widowControl/>
              <w:suppressAutoHyphens w:val="0"/>
              <w:rPr>
                <w:rFonts w:cs="Arial"/>
                <w:b/>
                <w:bCs/>
                <w:color w:val="FFFFFF"/>
                <w:kern w:val="0"/>
                <w:sz w:val="20"/>
                <w:szCs w:val="20"/>
                <w:lang w:val="fr-BE" w:eastAsia="fr-BE"/>
              </w:rPr>
            </w:pPr>
            <w:r>
              <w:rPr>
                <w:rFonts w:cs="Arial"/>
                <w:b/>
                <w:bCs/>
                <w:color w:val="FFFFFF"/>
                <w:kern w:val="0"/>
                <w:sz w:val="20"/>
                <w:szCs w:val="20"/>
                <w:lang w:val="fr-BE" w:eastAsia="fr-BE"/>
              </w:rPr>
              <w:t> </w:t>
            </w:r>
          </w:p>
        </w:tc>
        <w:tc>
          <w:tcPr>
            <w:tcW w:w="2661" w:type="dxa"/>
            <w:tcBorders>
              <w:top w:val="nil"/>
              <w:left w:val="single" w:sz="4" w:space="0" w:color="auto"/>
              <w:bottom w:val="single" w:sz="4" w:space="0" w:color="auto"/>
              <w:right w:val="single" w:sz="4" w:space="0" w:color="auto"/>
            </w:tcBorders>
            <w:shd w:val="clear" w:color="auto" w:fill="9BBB59"/>
            <w:vAlign w:val="bottom"/>
            <w:hideMark/>
          </w:tcPr>
          <w:p w:rsidR="0055535A" w:rsidRDefault="0055535A">
            <w:pPr>
              <w:widowControl/>
              <w:suppressAutoHyphens w:val="0"/>
              <w:jc w:val="center"/>
              <w:rPr>
                <w:rFonts w:ascii="Calibri" w:hAnsi="Calibri" w:cs="Arial"/>
                <w:b/>
                <w:bCs/>
                <w:color w:val="FFFFFF"/>
                <w:kern w:val="0"/>
                <w:sz w:val="22"/>
                <w:szCs w:val="22"/>
                <w:lang w:val="fr-BE" w:eastAsia="fr-BE"/>
              </w:rPr>
            </w:pPr>
            <w:r>
              <w:rPr>
                <w:rFonts w:ascii="Calibri" w:hAnsi="Calibri" w:cs="Arial"/>
                <w:b/>
                <w:bCs/>
                <w:color w:val="FFFFFF"/>
                <w:kern w:val="0"/>
                <w:sz w:val="22"/>
                <w:szCs w:val="22"/>
                <w:lang w:val="fr-BE" w:eastAsia="fr-BE"/>
              </w:rPr>
              <w:t xml:space="preserve">Action </w:t>
            </w:r>
          </w:p>
        </w:tc>
        <w:tc>
          <w:tcPr>
            <w:tcW w:w="594" w:type="dxa"/>
            <w:tcBorders>
              <w:top w:val="single" w:sz="4" w:space="0" w:color="auto"/>
              <w:left w:val="nil"/>
              <w:bottom w:val="single" w:sz="4" w:space="0" w:color="auto"/>
              <w:right w:val="single" w:sz="4" w:space="0" w:color="auto"/>
            </w:tcBorders>
            <w:shd w:val="clear" w:color="auto" w:fill="9BBB59"/>
            <w:noWrap/>
            <w:vAlign w:val="bottom"/>
            <w:hideMark/>
          </w:tcPr>
          <w:p w:rsidR="0055535A" w:rsidRDefault="0055535A">
            <w:pPr>
              <w:widowControl/>
              <w:suppressAutoHyphens w:val="0"/>
              <w:jc w:val="center"/>
              <w:rPr>
                <w:rFonts w:ascii="Calibri" w:hAnsi="Calibri" w:cs="Arial"/>
                <w:b/>
                <w:bCs/>
                <w:color w:val="FFFFFF"/>
                <w:kern w:val="0"/>
                <w:sz w:val="22"/>
                <w:szCs w:val="22"/>
                <w:lang w:val="fr-BE" w:eastAsia="fr-BE"/>
              </w:rPr>
            </w:pPr>
            <w:r>
              <w:rPr>
                <w:rFonts w:ascii="Calibri" w:hAnsi="Calibri" w:cs="Arial"/>
                <w:b/>
                <w:bCs/>
                <w:color w:val="FFFFFF"/>
                <w:kern w:val="0"/>
                <w:sz w:val="22"/>
                <w:szCs w:val="22"/>
                <w:lang w:val="fr-BE" w:eastAsia="fr-BE"/>
              </w:rPr>
              <w:t> </w:t>
            </w:r>
          </w:p>
        </w:tc>
        <w:tc>
          <w:tcPr>
            <w:tcW w:w="880" w:type="dxa"/>
            <w:tcBorders>
              <w:top w:val="single" w:sz="4" w:space="0" w:color="auto"/>
              <w:left w:val="nil"/>
              <w:bottom w:val="single" w:sz="4" w:space="0" w:color="auto"/>
              <w:right w:val="single" w:sz="4" w:space="0" w:color="auto"/>
            </w:tcBorders>
            <w:shd w:val="clear" w:color="auto" w:fill="9BBB59"/>
            <w:noWrap/>
            <w:vAlign w:val="bottom"/>
            <w:hideMark/>
          </w:tcPr>
          <w:p w:rsidR="0055535A" w:rsidRDefault="0055535A">
            <w:pPr>
              <w:widowControl/>
              <w:suppressAutoHyphens w:val="0"/>
              <w:jc w:val="center"/>
              <w:rPr>
                <w:rFonts w:ascii="Calibri" w:hAnsi="Calibri" w:cs="Arial"/>
                <w:b/>
                <w:bCs/>
                <w:color w:val="FFFFFF"/>
                <w:kern w:val="0"/>
                <w:sz w:val="22"/>
                <w:szCs w:val="22"/>
                <w:lang w:val="fr-BE" w:eastAsia="fr-BE"/>
              </w:rPr>
            </w:pPr>
            <w:r>
              <w:rPr>
                <w:rFonts w:ascii="Calibri" w:hAnsi="Calibri" w:cs="Arial"/>
                <w:b/>
                <w:bCs/>
                <w:color w:val="FFFFFF"/>
                <w:kern w:val="0"/>
                <w:sz w:val="22"/>
                <w:szCs w:val="22"/>
                <w:lang w:val="fr-BE" w:eastAsia="fr-BE"/>
              </w:rPr>
              <w:t> </w:t>
            </w:r>
          </w:p>
        </w:tc>
        <w:tc>
          <w:tcPr>
            <w:tcW w:w="2859" w:type="dxa"/>
            <w:tcBorders>
              <w:top w:val="single" w:sz="4" w:space="0" w:color="auto"/>
              <w:left w:val="nil"/>
              <w:bottom w:val="single" w:sz="4" w:space="0" w:color="auto"/>
              <w:right w:val="single" w:sz="4" w:space="0" w:color="auto"/>
            </w:tcBorders>
            <w:shd w:val="clear" w:color="auto" w:fill="8064A2"/>
            <w:noWrap/>
            <w:vAlign w:val="bottom"/>
            <w:hideMark/>
          </w:tcPr>
          <w:p w:rsidR="0055535A" w:rsidRDefault="0055535A">
            <w:pPr>
              <w:widowControl/>
              <w:suppressAutoHyphens w:val="0"/>
              <w:jc w:val="center"/>
              <w:rPr>
                <w:rFonts w:cs="Arial"/>
                <w:b/>
                <w:bCs/>
                <w:color w:val="FFFFFF"/>
                <w:kern w:val="0"/>
                <w:sz w:val="20"/>
                <w:szCs w:val="20"/>
                <w:lang w:val="fr-BE" w:eastAsia="fr-BE"/>
              </w:rPr>
            </w:pPr>
            <w:r>
              <w:rPr>
                <w:rFonts w:cs="Arial"/>
                <w:b/>
                <w:bCs/>
                <w:color w:val="FFFFFF"/>
                <w:kern w:val="0"/>
                <w:sz w:val="20"/>
                <w:szCs w:val="20"/>
                <w:lang w:val="fr-BE" w:eastAsia="fr-BE"/>
              </w:rPr>
              <w:t>Suivi</w:t>
            </w:r>
          </w:p>
        </w:tc>
      </w:tr>
      <w:tr w:rsidR="0055535A" w:rsidTr="0055535A">
        <w:trPr>
          <w:trHeight w:val="664"/>
        </w:trPr>
        <w:tc>
          <w:tcPr>
            <w:tcW w:w="363" w:type="dxa"/>
            <w:tcBorders>
              <w:top w:val="single" w:sz="4" w:space="0" w:color="auto"/>
              <w:left w:val="single" w:sz="4" w:space="0" w:color="auto"/>
              <w:bottom w:val="single" w:sz="4" w:space="0" w:color="auto"/>
              <w:right w:val="nil"/>
            </w:tcBorders>
            <w:shd w:val="clear" w:color="auto" w:fill="B8CCE4"/>
            <w:vAlign w:val="center"/>
            <w:hideMark/>
          </w:tcPr>
          <w:p w:rsidR="0055535A" w:rsidRDefault="0055535A">
            <w:pPr>
              <w:widowControl/>
              <w:suppressAutoHyphens w:val="0"/>
              <w:jc w:val="center"/>
              <w:rPr>
                <w:rFonts w:ascii="Calibri" w:hAnsi="Calibri" w:cs="Arial"/>
                <w:b/>
                <w:bCs/>
                <w:kern w:val="0"/>
                <w:sz w:val="20"/>
                <w:szCs w:val="20"/>
                <w:lang w:val="fr-BE" w:eastAsia="fr-BE"/>
              </w:rPr>
            </w:pPr>
            <w:r>
              <w:rPr>
                <w:rFonts w:ascii="Calibri" w:hAnsi="Calibri" w:cs="Arial"/>
                <w:b/>
                <w:bCs/>
                <w:kern w:val="0"/>
                <w:sz w:val="20"/>
                <w:szCs w:val="20"/>
                <w:lang w:val="fr-BE" w:eastAsia="fr-BE"/>
              </w:rPr>
              <w:t>N°</w:t>
            </w:r>
          </w:p>
        </w:tc>
        <w:tc>
          <w:tcPr>
            <w:tcW w:w="3162" w:type="dxa"/>
            <w:tcBorders>
              <w:top w:val="nil"/>
              <w:left w:val="single" w:sz="8" w:space="0" w:color="auto"/>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b/>
                <w:bCs/>
                <w:kern w:val="0"/>
                <w:sz w:val="20"/>
                <w:szCs w:val="20"/>
                <w:lang w:val="fr-BE" w:eastAsia="fr-BE"/>
              </w:rPr>
            </w:pPr>
            <w:r>
              <w:rPr>
                <w:rFonts w:ascii="Calibri" w:hAnsi="Calibri" w:cs="Arial"/>
                <w:b/>
                <w:bCs/>
                <w:kern w:val="0"/>
                <w:sz w:val="20"/>
                <w:szCs w:val="20"/>
                <w:lang w:val="fr-BE" w:eastAsia="fr-BE"/>
              </w:rPr>
              <w:t>Décision</w:t>
            </w:r>
          </w:p>
        </w:tc>
        <w:tc>
          <w:tcPr>
            <w:tcW w:w="999"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b/>
                <w:bCs/>
                <w:kern w:val="0"/>
                <w:sz w:val="20"/>
                <w:szCs w:val="20"/>
                <w:lang w:val="fr-BE" w:eastAsia="fr-BE"/>
              </w:rPr>
            </w:pPr>
            <w:r>
              <w:rPr>
                <w:rFonts w:ascii="Calibri" w:hAnsi="Calibri" w:cs="Arial"/>
                <w:b/>
                <w:bCs/>
                <w:kern w:val="0"/>
                <w:sz w:val="20"/>
                <w:szCs w:val="20"/>
                <w:lang w:val="fr-BE" w:eastAsia="fr-BE"/>
              </w:rPr>
              <w:t>Source*</w:t>
            </w:r>
          </w:p>
        </w:tc>
        <w:tc>
          <w:tcPr>
            <w:tcW w:w="2661"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b/>
                <w:bCs/>
                <w:kern w:val="0"/>
                <w:sz w:val="20"/>
                <w:szCs w:val="20"/>
                <w:lang w:val="fr-BE" w:eastAsia="fr-BE"/>
              </w:rPr>
            </w:pPr>
            <w:r>
              <w:rPr>
                <w:rFonts w:ascii="Calibri" w:hAnsi="Calibri" w:cs="Arial"/>
                <w:b/>
                <w:bCs/>
                <w:kern w:val="0"/>
                <w:sz w:val="20"/>
                <w:szCs w:val="20"/>
                <w:lang w:val="fr-BE" w:eastAsia="fr-BE"/>
              </w:rPr>
              <w:t>Action(s)</w:t>
            </w:r>
          </w:p>
        </w:tc>
        <w:tc>
          <w:tcPr>
            <w:tcW w:w="594"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b/>
                <w:bCs/>
                <w:kern w:val="0"/>
                <w:sz w:val="20"/>
                <w:szCs w:val="20"/>
                <w:lang w:val="fr-BE" w:eastAsia="fr-BE"/>
              </w:rPr>
            </w:pPr>
            <w:r>
              <w:rPr>
                <w:rFonts w:ascii="Calibri" w:hAnsi="Calibri" w:cs="Arial"/>
                <w:b/>
                <w:bCs/>
                <w:kern w:val="0"/>
                <w:sz w:val="20"/>
                <w:szCs w:val="20"/>
                <w:lang w:val="fr-BE" w:eastAsia="fr-BE"/>
              </w:rPr>
              <w:t>Resp.</w:t>
            </w:r>
          </w:p>
        </w:tc>
        <w:tc>
          <w:tcPr>
            <w:tcW w:w="880"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ascii="Calibri" w:hAnsi="Calibri" w:cs="Arial"/>
                <w:b/>
                <w:bCs/>
                <w:kern w:val="0"/>
                <w:sz w:val="20"/>
                <w:szCs w:val="20"/>
                <w:lang w:val="fr-BE" w:eastAsia="fr-BE"/>
              </w:rPr>
            </w:pPr>
            <w:r>
              <w:rPr>
                <w:rFonts w:ascii="Calibri" w:hAnsi="Calibri" w:cs="Arial"/>
                <w:b/>
                <w:bCs/>
                <w:kern w:val="0"/>
                <w:sz w:val="20"/>
                <w:szCs w:val="20"/>
                <w:lang w:val="fr-BE" w:eastAsia="fr-BE"/>
              </w:rPr>
              <w:t>Deadline</w:t>
            </w:r>
          </w:p>
        </w:tc>
        <w:tc>
          <w:tcPr>
            <w:tcW w:w="2859" w:type="dxa"/>
            <w:tcBorders>
              <w:top w:val="nil"/>
              <w:left w:val="nil"/>
              <w:bottom w:val="single" w:sz="4" w:space="0" w:color="auto"/>
              <w:right w:val="single" w:sz="4" w:space="0" w:color="auto"/>
            </w:tcBorders>
            <w:shd w:val="clear" w:color="auto" w:fill="B8CCE4"/>
            <w:vAlign w:val="center"/>
            <w:hideMark/>
          </w:tcPr>
          <w:p w:rsidR="0055535A" w:rsidRDefault="0055535A">
            <w:pPr>
              <w:widowControl/>
              <w:suppressAutoHyphens w:val="0"/>
              <w:jc w:val="center"/>
              <w:rPr>
                <w:rFonts w:cs="Arial"/>
                <w:b/>
                <w:bCs/>
                <w:kern w:val="0"/>
                <w:sz w:val="20"/>
                <w:szCs w:val="20"/>
                <w:lang w:val="fr-BE" w:eastAsia="fr-BE"/>
              </w:rPr>
            </w:pPr>
            <w:r>
              <w:rPr>
                <w:rFonts w:cs="Arial"/>
                <w:b/>
                <w:bCs/>
                <w:kern w:val="0"/>
                <w:sz w:val="20"/>
                <w:szCs w:val="20"/>
                <w:lang w:val="fr-BE" w:eastAsia="fr-BE"/>
              </w:rPr>
              <w:t>Avancement</w:t>
            </w:r>
          </w:p>
        </w:tc>
      </w:tr>
      <w:tr w:rsidR="0055535A" w:rsidTr="0055535A">
        <w:trPr>
          <w:trHeight w:val="677"/>
        </w:trPr>
        <w:tc>
          <w:tcPr>
            <w:tcW w:w="363" w:type="dxa"/>
            <w:tcBorders>
              <w:top w:val="nil"/>
              <w:left w:val="single" w:sz="4" w:space="0" w:color="auto"/>
              <w:bottom w:val="nil"/>
              <w:right w:val="nil"/>
            </w:tcBorders>
            <w:noWrap/>
            <w:vAlign w:val="center"/>
            <w:hideMark/>
          </w:tcPr>
          <w:p w:rsidR="0055535A" w:rsidRDefault="0055535A">
            <w:pPr>
              <w:widowControl/>
              <w:suppressAutoHyphens w:val="0"/>
              <w:jc w:val="center"/>
              <w:rPr>
                <w:rFonts w:cs="Arial"/>
                <w:bCs/>
                <w:kern w:val="0"/>
                <w:sz w:val="20"/>
                <w:szCs w:val="20"/>
                <w:lang w:val="fr-BE" w:eastAsia="fr-BE"/>
              </w:rPr>
            </w:pPr>
            <w:r>
              <w:rPr>
                <w:rFonts w:cs="Arial"/>
                <w:bCs/>
                <w:kern w:val="0"/>
                <w:sz w:val="20"/>
                <w:szCs w:val="20"/>
                <w:lang w:val="fr-BE" w:eastAsia="fr-BE"/>
              </w:rPr>
              <w:t>92</w:t>
            </w:r>
          </w:p>
        </w:tc>
        <w:tc>
          <w:tcPr>
            <w:tcW w:w="3162" w:type="dxa"/>
            <w:tcBorders>
              <w:top w:val="nil"/>
              <w:left w:val="single" w:sz="8" w:space="0" w:color="auto"/>
              <w:bottom w:val="nil"/>
              <w:right w:val="single" w:sz="4" w:space="0" w:color="auto"/>
            </w:tcBorders>
            <w:vAlign w:val="center"/>
            <w:hideMark/>
          </w:tcPr>
          <w:p w:rsidR="0055535A" w:rsidRDefault="0055535A">
            <w:pPr>
              <w:widowControl/>
              <w:suppressAutoHyphens w:val="0"/>
              <w:rPr>
                <w:rFonts w:cs="Arial"/>
                <w:kern w:val="0"/>
                <w:sz w:val="20"/>
                <w:szCs w:val="20"/>
                <w:lang w:val="fr-BE" w:eastAsia="fr-BE"/>
              </w:rPr>
            </w:pPr>
            <w:r>
              <w:rPr>
                <w:rFonts w:cs="Arial"/>
                <w:kern w:val="0"/>
                <w:sz w:val="20"/>
                <w:szCs w:val="20"/>
                <w:lang w:val="fr-BE" w:eastAsia="fr-BE"/>
              </w:rPr>
              <w:t>Le comité de validation interne a marqué son accord pour le réaménagement budgétaire</w:t>
            </w:r>
          </w:p>
        </w:tc>
        <w:tc>
          <w:tcPr>
            <w:tcW w:w="999" w:type="dxa"/>
            <w:tcBorders>
              <w:top w:val="nil"/>
              <w:left w:val="nil"/>
              <w:bottom w:val="nil"/>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PV CVI Novembre 2016</w:t>
            </w:r>
          </w:p>
        </w:tc>
        <w:tc>
          <w:tcPr>
            <w:tcW w:w="2661" w:type="dxa"/>
            <w:tcBorders>
              <w:top w:val="nil"/>
              <w:left w:val="nil"/>
              <w:bottom w:val="nil"/>
              <w:right w:val="single" w:sz="4" w:space="0" w:color="auto"/>
            </w:tcBorders>
            <w:vAlign w:val="center"/>
            <w:hideMark/>
          </w:tcPr>
          <w:p w:rsidR="0055535A" w:rsidRDefault="0055535A">
            <w:pPr>
              <w:widowControl/>
              <w:suppressAutoHyphens w:val="0"/>
              <w:rPr>
                <w:rFonts w:cs="Arial"/>
                <w:kern w:val="0"/>
                <w:sz w:val="20"/>
                <w:szCs w:val="20"/>
                <w:lang w:val="fr-BE" w:eastAsia="fr-BE"/>
              </w:rPr>
            </w:pPr>
            <w:r>
              <w:rPr>
                <w:rFonts w:cs="Arial"/>
                <w:kern w:val="0"/>
                <w:sz w:val="20"/>
                <w:szCs w:val="20"/>
                <w:lang w:val="fr-BE" w:eastAsia="fr-BE"/>
              </w:rPr>
              <w:t>Adapter FIT</w:t>
            </w:r>
          </w:p>
        </w:tc>
        <w:tc>
          <w:tcPr>
            <w:tcW w:w="594" w:type="dxa"/>
            <w:tcBorders>
              <w:top w:val="nil"/>
              <w:left w:val="nil"/>
              <w:bottom w:val="nil"/>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RAfi</w:t>
            </w:r>
          </w:p>
        </w:tc>
        <w:tc>
          <w:tcPr>
            <w:tcW w:w="880" w:type="dxa"/>
            <w:tcBorders>
              <w:top w:val="nil"/>
              <w:left w:val="nil"/>
              <w:bottom w:val="nil"/>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Q4 2016</w:t>
            </w:r>
          </w:p>
        </w:tc>
        <w:tc>
          <w:tcPr>
            <w:tcW w:w="2859" w:type="dxa"/>
            <w:tcBorders>
              <w:top w:val="nil"/>
              <w:left w:val="nil"/>
              <w:bottom w:val="nil"/>
              <w:right w:val="single" w:sz="4" w:space="0" w:color="auto"/>
            </w:tcBorders>
            <w:vAlign w:val="center"/>
            <w:hideMark/>
          </w:tcPr>
          <w:p w:rsidR="0055535A" w:rsidRDefault="0055535A">
            <w:pPr>
              <w:widowControl/>
              <w:suppressAutoHyphens w:val="0"/>
              <w:rPr>
                <w:rFonts w:cs="Arial"/>
                <w:kern w:val="0"/>
                <w:sz w:val="20"/>
                <w:szCs w:val="20"/>
                <w:lang w:val="fr-BE" w:eastAsia="fr-BE"/>
              </w:rPr>
            </w:pPr>
            <w:r>
              <w:rPr>
                <w:rFonts w:cs="Arial"/>
                <w:kern w:val="0"/>
                <w:sz w:val="20"/>
                <w:szCs w:val="20"/>
                <w:lang w:val="fr-BE" w:eastAsia="fr-BE"/>
              </w:rPr>
              <w:t>FIT est adapté</w:t>
            </w:r>
          </w:p>
        </w:tc>
      </w:tr>
      <w:tr w:rsidR="0055535A" w:rsidTr="0055535A">
        <w:trPr>
          <w:trHeight w:val="677"/>
        </w:trPr>
        <w:tc>
          <w:tcPr>
            <w:tcW w:w="363" w:type="dxa"/>
            <w:tcBorders>
              <w:top w:val="single" w:sz="8" w:space="0" w:color="auto"/>
              <w:left w:val="single" w:sz="8" w:space="0" w:color="auto"/>
              <w:bottom w:val="single" w:sz="8" w:space="0" w:color="auto"/>
              <w:right w:val="nil"/>
            </w:tcBorders>
            <w:noWrap/>
            <w:vAlign w:val="bottom"/>
            <w:hideMark/>
          </w:tcPr>
          <w:p w:rsidR="0055535A" w:rsidRDefault="0055535A">
            <w:pPr>
              <w:widowControl/>
              <w:suppressAutoHyphens w:val="0"/>
              <w:jc w:val="right"/>
              <w:rPr>
                <w:rFonts w:cs="Arial"/>
                <w:kern w:val="0"/>
                <w:sz w:val="20"/>
                <w:szCs w:val="20"/>
                <w:lang w:val="fr-BE" w:eastAsia="fr-BE"/>
              </w:rPr>
            </w:pPr>
            <w:r>
              <w:rPr>
                <w:rFonts w:cs="Arial"/>
                <w:kern w:val="0"/>
                <w:sz w:val="20"/>
                <w:szCs w:val="20"/>
                <w:lang w:val="fr-BE" w:eastAsia="fr-BE"/>
              </w:rPr>
              <w:t>93</w:t>
            </w:r>
          </w:p>
        </w:tc>
        <w:tc>
          <w:tcPr>
            <w:tcW w:w="3162" w:type="dxa"/>
            <w:tcBorders>
              <w:top w:val="single" w:sz="8" w:space="0" w:color="auto"/>
              <w:left w:val="single" w:sz="8" w:space="0" w:color="auto"/>
              <w:bottom w:val="single" w:sz="8" w:space="0" w:color="auto"/>
              <w:right w:val="single" w:sz="4" w:space="0" w:color="auto"/>
            </w:tcBorders>
            <w:vAlign w:val="center"/>
            <w:hideMark/>
          </w:tcPr>
          <w:p w:rsidR="0055535A" w:rsidRDefault="0055535A">
            <w:pPr>
              <w:widowControl/>
              <w:suppressAutoHyphens w:val="0"/>
              <w:rPr>
                <w:rFonts w:cs="Arial"/>
                <w:kern w:val="0"/>
                <w:sz w:val="20"/>
                <w:szCs w:val="20"/>
                <w:lang w:val="fr-BE" w:eastAsia="fr-BE"/>
              </w:rPr>
            </w:pPr>
            <w:r>
              <w:rPr>
                <w:rFonts w:cs="Arial"/>
                <w:kern w:val="0"/>
                <w:sz w:val="20"/>
                <w:szCs w:val="20"/>
                <w:lang w:val="fr-BE" w:eastAsia="fr-BE"/>
              </w:rPr>
              <w:t xml:space="preserve">Le CVI a validé l'octroi direct d'un subside en faveur de 5 écoles paramédicales </w:t>
            </w:r>
          </w:p>
        </w:tc>
        <w:tc>
          <w:tcPr>
            <w:tcW w:w="999" w:type="dxa"/>
            <w:tcBorders>
              <w:top w:val="single" w:sz="8" w:space="0" w:color="auto"/>
              <w:left w:val="nil"/>
              <w:bottom w:val="single" w:sz="8"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PV CVI Novembre 2016</w:t>
            </w:r>
          </w:p>
        </w:tc>
        <w:tc>
          <w:tcPr>
            <w:tcW w:w="2661" w:type="dxa"/>
            <w:tcBorders>
              <w:top w:val="single" w:sz="8" w:space="0" w:color="auto"/>
              <w:left w:val="nil"/>
              <w:bottom w:val="single" w:sz="8" w:space="0" w:color="auto"/>
              <w:right w:val="single" w:sz="4" w:space="0" w:color="auto"/>
            </w:tcBorders>
            <w:vAlign w:val="center"/>
            <w:hideMark/>
          </w:tcPr>
          <w:p w:rsidR="0055535A" w:rsidRDefault="0055535A">
            <w:pPr>
              <w:widowControl/>
              <w:suppressAutoHyphens w:val="0"/>
              <w:rPr>
                <w:rFonts w:cs="Arial"/>
                <w:kern w:val="0"/>
                <w:sz w:val="20"/>
                <w:szCs w:val="20"/>
                <w:lang w:val="fr-BE" w:eastAsia="fr-BE"/>
              </w:rPr>
            </w:pPr>
            <w:r>
              <w:rPr>
                <w:rFonts w:cs="Arial"/>
                <w:kern w:val="0"/>
                <w:sz w:val="20"/>
                <w:szCs w:val="20"/>
                <w:lang w:val="fr-BE" w:eastAsia="fr-BE"/>
              </w:rPr>
              <w:t>Préparer et faire signer lesconventions de subsides</w:t>
            </w:r>
          </w:p>
        </w:tc>
        <w:tc>
          <w:tcPr>
            <w:tcW w:w="594" w:type="dxa"/>
            <w:tcBorders>
              <w:top w:val="single" w:sz="8" w:space="0" w:color="auto"/>
              <w:left w:val="nil"/>
              <w:bottom w:val="single" w:sz="8"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RAfi</w:t>
            </w:r>
          </w:p>
        </w:tc>
        <w:tc>
          <w:tcPr>
            <w:tcW w:w="880" w:type="dxa"/>
            <w:tcBorders>
              <w:top w:val="single" w:sz="8" w:space="0" w:color="auto"/>
              <w:left w:val="nil"/>
              <w:bottom w:val="single" w:sz="8" w:space="0" w:color="auto"/>
              <w:right w:val="single" w:sz="4" w:space="0" w:color="auto"/>
            </w:tcBorders>
            <w:vAlign w:val="center"/>
            <w:hideMark/>
          </w:tcPr>
          <w:p w:rsidR="0055535A" w:rsidRDefault="0055535A">
            <w:pPr>
              <w:widowControl/>
              <w:suppressAutoHyphens w:val="0"/>
              <w:jc w:val="center"/>
              <w:rPr>
                <w:rFonts w:ascii="Calibri" w:hAnsi="Calibri" w:cs="Arial"/>
                <w:kern w:val="0"/>
                <w:sz w:val="20"/>
                <w:szCs w:val="20"/>
                <w:lang w:val="fr-BE" w:eastAsia="fr-BE"/>
              </w:rPr>
            </w:pPr>
            <w:r>
              <w:rPr>
                <w:rFonts w:ascii="Calibri" w:hAnsi="Calibri" w:cs="Arial"/>
                <w:kern w:val="0"/>
                <w:sz w:val="20"/>
                <w:szCs w:val="20"/>
                <w:lang w:val="fr-BE" w:eastAsia="fr-BE"/>
              </w:rPr>
              <w:t>Q4 2016</w:t>
            </w:r>
          </w:p>
        </w:tc>
        <w:tc>
          <w:tcPr>
            <w:tcW w:w="2859" w:type="dxa"/>
            <w:tcBorders>
              <w:top w:val="single" w:sz="8" w:space="0" w:color="auto"/>
              <w:left w:val="nil"/>
              <w:bottom w:val="single" w:sz="8" w:space="0" w:color="auto"/>
              <w:right w:val="single" w:sz="4" w:space="0" w:color="auto"/>
            </w:tcBorders>
            <w:vAlign w:val="center"/>
            <w:hideMark/>
          </w:tcPr>
          <w:p w:rsidR="0055535A" w:rsidRDefault="0055535A">
            <w:pPr>
              <w:widowControl/>
              <w:suppressAutoHyphens w:val="0"/>
              <w:rPr>
                <w:rFonts w:cs="Arial"/>
                <w:kern w:val="0"/>
                <w:sz w:val="20"/>
                <w:szCs w:val="20"/>
                <w:lang w:val="fr-BE" w:eastAsia="fr-BE"/>
              </w:rPr>
            </w:pPr>
            <w:r>
              <w:rPr>
                <w:rFonts w:cs="Arial"/>
                <w:kern w:val="0"/>
                <w:sz w:val="20"/>
                <w:szCs w:val="20"/>
                <w:lang w:val="fr-BE" w:eastAsia="fr-BE"/>
              </w:rPr>
              <w:t>Convention de subsides pour les cinq EPM signé et mis en exécution</w:t>
            </w:r>
          </w:p>
        </w:tc>
      </w:tr>
    </w:tbl>
    <w:p w:rsidR="0055535A" w:rsidRDefault="0055535A" w:rsidP="0055535A">
      <w:pPr>
        <w:rPr>
          <w:rFonts w:cs="Arial"/>
          <w:iCs/>
          <w:sz w:val="20"/>
          <w:szCs w:val="20"/>
        </w:rPr>
      </w:pPr>
    </w:p>
    <w:bookmarkEnd w:id="199"/>
    <w:p w:rsidR="0055535A" w:rsidRDefault="0055535A" w:rsidP="0055535A">
      <w:pPr>
        <w:widowControl/>
        <w:suppressAutoHyphens w:val="0"/>
        <w:snapToGrid/>
        <w:rPr>
          <w:rFonts w:ascii="Times New Roman" w:hAnsi="Times New Roman"/>
        </w:rPr>
        <w:sectPr w:rsidR="0055535A">
          <w:pgSz w:w="16837" w:h="11905" w:orient="landscape"/>
          <w:pgMar w:top="2552" w:right="2552" w:bottom="1418" w:left="1514" w:header="709" w:footer="907" w:gutter="0"/>
          <w:cols w:space="720"/>
          <w:formProt w:val="0"/>
        </w:sectPr>
      </w:pPr>
    </w:p>
    <w:p w:rsidR="0055535A" w:rsidRDefault="0055535A" w:rsidP="0055535A">
      <w:pPr>
        <w:pStyle w:val="Titre2"/>
        <w:numPr>
          <w:ilvl w:val="0"/>
          <w:numId w:val="0"/>
        </w:numPr>
        <w:tabs>
          <w:tab w:val="left" w:pos="708"/>
        </w:tabs>
        <w:ind w:left="1080"/>
        <w:rPr>
          <w:rFonts w:cs="Arial"/>
          <w:sz w:val="28"/>
        </w:rPr>
      </w:pPr>
      <w:bookmarkStart w:id="201" w:name="_Toc370814221"/>
      <w:bookmarkStart w:id="202" w:name="_Toc370814297"/>
      <w:bookmarkStart w:id="203" w:name="_Toc475972214"/>
      <w:bookmarkStart w:id="204" w:name="_Toc370814222"/>
      <w:bookmarkStart w:id="205" w:name="_Toc370814298"/>
      <w:bookmarkStart w:id="206" w:name="_Toc305765877"/>
      <w:bookmarkEnd w:id="194"/>
      <w:r>
        <w:t xml:space="preserve">4.3 </w:t>
      </w:r>
      <w:bookmarkStart w:id="207" w:name="_Toc411938888"/>
      <w:r>
        <w:t>Cadre logique mis à jour</w:t>
      </w:r>
      <w:bookmarkEnd w:id="201"/>
      <w:bookmarkEnd w:id="202"/>
      <w:bookmarkEnd w:id="203"/>
      <w:bookmarkEnd w:id="207"/>
      <w:r>
        <w:t xml:space="preserve"> </w:t>
      </w:r>
    </w:p>
    <w:p w:rsidR="0055535A" w:rsidRDefault="0055535A" w:rsidP="0055535A">
      <w:pPr>
        <w:rPr>
          <w:sz w:val="22"/>
          <w:szCs w:val="22"/>
        </w:rPr>
      </w:pPr>
      <w:r>
        <w:rPr>
          <w:sz w:val="22"/>
          <w:szCs w:val="22"/>
        </w:rPr>
        <w:t>Aucun changement dans les cadres logiques.</w:t>
      </w:r>
    </w:p>
    <w:p w:rsidR="0055535A" w:rsidRDefault="0055535A" w:rsidP="0055535A">
      <w:pPr>
        <w:widowControl/>
        <w:suppressAutoHyphens w:val="0"/>
        <w:snapToGrid/>
        <w:rPr>
          <w:snapToGrid w:val="0"/>
          <w:sz w:val="22"/>
          <w:szCs w:val="22"/>
        </w:rPr>
        <w:sectPr w:rsidR="0055535A">
          <w:pgSz w:w="11905" w:h="16837"/>
          <w:pgMar w:top="2552" w:right="1418" w:bottom="1514" w:left="1985" w:header="709" w:footer="907" w:gutter="0"/>
          <w:cols w:space="720"/>
          <w:formProt w:val="0"/>
        </w:sectPr>
      </w:pPr>
    </w:p>
    <w:p w:rsidR="0055535A" w:rsidRDefault="0055535A" w:rsidP="0055535A">
      <w:pPr>
        <w:pStyle w:val="Titre2"/>
        <w:numPr>
          <w:ilvl w:val="0"/>
          <w:numId w:val="0"/>
        </w:numPr>
        <w:tabs>
          <w:tab w:val="left" w:pos="708"/>
        </w:tabs>
        <w:ind w:left="1440"/>
        <w:rPr>
          <w:rFonts w:cs="Arial"/>
          <w:sz w:val="28"/>
        </w:rPr>
      </w:pPr>
      <w:bookmarkStart w:id="208" w:name="_Toc475972215"/>
      <w:r>
        <w:t xml:space="preserve">4.4 </w:t>
      </w:r>
      <w:bookmarkStart w:id="209" w:name="_Toc411938889"/>
      <w:r>
        <w:t>Aperçu des MoRe Results</w:t>
      </w:r>
      <w:bookmarkEnd w:id="204"/>
      <w:bookmarkEnd w:id="205"/>
      <w:bookmarkEnd w:id="208"/>
      <w:bookmarkEnd w:id="209"/>
      <w:r>
        <w:t xml:space="preserve"> </w:t>
      </w:r>
    </w:p>
    <w:tbl>
      <w:tblPr>
        <w:tblW w:w="867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4"/>
        <w:gridCol w:w="5266"/>
      </w:tblGrid>
      <w:tr w:rsidR="0055535A" w:rsidTr="0055535A">
        <w:trPr>
          <w:trHeight w:val="255"/>
        </w:trPr>
        <w:tc>
          <w:tcPr>
            <w:tcW w:w="3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color w:val="FF0000"/>
                <w:sz w:val="20"/>
                <w:szCs w:val="20"/>
              </w:rPr>
            </w:pPr>
            <w:r>
              <w:rPr>
                <w:sz w:val="20"/>
              </w:rPr>
              <w:t>Résultats ou indicateurs du cadre logique modifiés au cours des 12 derniers mois ?</w:t>
            </w:r>
          </w:p>
        </w:tc>
        <w:tc>
          <w:tcPr>
            <w:tcW w:w="5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cs="Arial"/>
                <w:sz w:val="20"/>
                <w:szCs w:val="20"/>
              </w:rPr>
            </w:pPr>
            <w:r>
              <w:rPr>
                <w:rFonts w:cs="Arial"/>
                <w:sz w:val="20"/>
                <w:szCs w:val="20"/>
              </w:rPr>
              <w:t>Non</w:t>
            </w:r>
          </w:p>
        </w:tc>
      </w:tr>
      <w:tr w:rsidR="0055535A" w:rsidTr="0055535A">
        <w:trPr>
          <w:trHeight w:val="255"/>
        </w:trPr>
        <w:tc>
          <w:tcPr>
            <w:tcW w:w="3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sz w:val="20"/>
                <w:szCs w:val="20"/>
              </w:rPr>
            </w:pPr>
            <w:r>
              <w:rPr>
                <w:sz w:val="20"/>
              </w:rPr>
              <w:t>Rapport Baseline enregistré dans PIT ?</w:t>
            </w:r>
          </w:p>
        </w:tc>
        <w:tc>
          <w:tcPr>
            <w:tcW w:w="5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5535A" w:rsidRDefault="0055535A">
            <w:pPr>
              <w:rPr>
                <w:rFonts w:cs="Arial"/>
                <w:sz w:val="20"/>
                <w:szCs w:val="20"/>
              </w:rPr>
            </w:pPr>
          </w:p>
          <w:p w:rsidR="0055535A" w:rsidRDefault="0055535A">
            <w:pPr>
              <w:rPr>
                <w:rFonts w:cs="Arial"/>
                <w:sz w:val="20"/>
                <w:szCs w:val="20"/>
              </w:rPr>
            </w:pPr>
            <w:r>
              <w:rPr>
                <w:rFonts w:cs="Arial"/>
                <w:sz w:val="20"/>
                <w:szCs w:val="20"/>
              </w:rPr>
              <w:t>OUI pour</w:t>
            </w:r>
          </w:p>
          <w:p w:rsidR="0055535A" w:rsidRDefault="0055535A" w:rsidP="0055535A">
            <w:pPr>
              <w:pStyle w:val="Paragraphedeliste"/>
              <w:numPr>
                <w:ilvl w:val="0"/>
                <w:numId w:val="35"/>
              </w:numPr>
              <w:snapToGrid/>
              <w:rPr>
                <w:rFonts w:ascii="Arial" w:hAnsi="Arial" w:cs="Arial"/>
                <w:sz w:val="20"/>
                <w:szCs w:val="20"/>
              </w:rPr>
            </w:pPr>
            <w:r>
              <w:rPr>
                <w:rFonts w:ascii="Arial" w:hAnsi="Arial" w:cs="Arial"/>
                <w:sz w:val="20"/>
                <w:szCs w:val="20"/>
              </w:rPr>
              <w:t>Volet PC : Le même que celui des volets 1-3 : 2013</w:t>
            </w:r>
          </w:p>
          <w:p w:rsidR="0055535A" w:rsidRDefault="0055535A" w:rsidP="0055535A">
            <w:pPr>
              <w:pStyle w:val="Paragraphedeliste"/>
              <w:numPr>
                <w:ilvl w:val="0"/>
                <w:numId w:val="35"/>
              </w:numPr>
              <w:snapToGrid/>
              <w:rPr>
                <w:rFonts w:ascii="Arial" w:hAnsi="Arial" w:cs="Arial"/>
                <w:sz w:val="20"/>
                <w:szCs w:val="20"/>
              </w:rPr>
            </w:pPr>
            <w:r>
              <w:rPr>
                <w:rFonts w:ascii="Arial" w:hAnsi="Arial" w:cs="Arial"/>
                <w:sz w:val="20"/>
                <w:szCs w:val="20"/>
              </w:rPr>
              <w:t>Volet 4 : 2013</w:t>
            </w:r>
          </w:p>
          <w:p w:rsidR="0055535A" w:rsidRDefault="0055535A">
            <w:pPr>
              <w:rPr>
                <w:rFonts w:cs="Arial"/>
                <w:sz w:val="20"/>
                <w:szCs w:val="20"/>
              </w:rPr>
            </w:pPr>
            <w:r>
              <w:rPr>
                <w:rFonts w:cs="Arial"/>
                <w:sz w:val="20"/>
                <w:szCs w:val="20"/>
              </w:rPr>
              <w:t>Volet 5 : prévue en Q1 2017</w:t>
            </w:r>
          </w:p>
          <w:p w:rsidR="0055535A" w:rsidRDefault="0055535A">
            <w:pPr>
              <w:rPr>
                <w:rFonts w:cs="Arial"/>
                <w:sz w:val="20"/>
                <w:szCs w:val="20"/>
              </w:rPr>
            </w:pPr>
          </w:p>
        </w:tc>
      </w:tr>
      <w:tr w:rsidR="0055535A" w:rsidTr="0055535A">
        <w:trPr>
          <w:trHeight w:val="255"/>
        </w:trPr>
        <w:tc>
          <w:tcPr>
            <w:tcW w:w="3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sz w:val="20"/>
                <w:szCs w:val="20"/>
              </w:rPr>
            </w:pPr>
            <w:r>
              <w:rPr>
                <w:sz w:val="20"/>
              </w:rPr>
              <w:t>Planning de la MTR (enregistrement du rapport)</w:t>
            </w:r>
          </w:p>
        </w:tc>
        <w:tc>
          <w:tcPr>
            <w:tcW w:w="5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5535A" w:rsidRDefault="0055535A">
            <w:pPr>
              <w:rPr>
                <w:sz w:val="20"/>
              </w:rPr>
            </w:pPr>
          </w:p>
          <w:p w:rsidR="0055535A" w:rsidRDefault="0055535A">
            <w:pPr>
              <w:rPr>
                <w:sz w:val="20"/>
              </w:rPr>
            </w:pPr>
            <w:r>
              <w:rPr>
                <w:sz w:val="20"/>
              </w:rPr>
              <w:t>Volet 4 : réalisé en décembre 2016</w:t>
            </w:r>
          </w:p>
          <w:p w:rsidR="0055535A" w:rsidRDefault="0055535A">
            <w:pPr>
              <w:rPr>
                <w:sz w:val="20"/>
              </w:rPr>
            </w:pPr>
            <w:r>
              <w:rPr>
                <w:sz w:val="20"/>
              </w:rPr>
              <w:t>Volet 5 : prévue en Q3 2017</w:t>
            </w:r>
          </w:p>
          <w:p w:rsidR="0055535A" w:rsidRDefault="0055535A">
            <w:pPr>
              <w:rPr>
                <w:rFonts w:eastAsia="Arial Unicode MS" w:cs="Arial"/>
                <w:sz w:val="20"/>
                <w:szCs w:val="20"/>
              </w:rPr>
            </w:pPr>
          </w:p>
        </w:tc>
      </w:tr>
      <w:tr w:rsidR="0055535A" w:rsidTr="0055535A">
        <w:trPr>
          <w:trHeight w:val="255"/>
        </w:trPr>
        <w:tc>
          <w:tcPr>
            <w:tcW w:w="3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sz w:val="20"/>
                <w:szCs w:val="20"/>
              </w:rPr>
            </w:pPr>
            <w:r>
              <w:rPr>
                <w:sz w:val="20"/>
              </w:rPr>
              <w:t>Planning de l'ETR (enregistrement du rapport)</w:t>
            </w:r>
          </w:p>
        </w:tc>
        <w:tc>
          <w:tcPr>
            <w:tcW w:w="5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5535A" w:rsidRDefault="0055535A">
            <w:pPr>
              <w:rPr>
                <w:sz w:val="20"/>
              </w:rPr>
            </w:pPr>
          </w:p>
          <w:p w:rsidR="0055535A" w:rsidRDefault="0055535A">
            <w:pPr>
              <w:rPr>
                <w:sz w:val="20"/>
              </w:rPr>
            </w:pPr>
            <w:r>
              <w:rPr>
                <w:sz w:val="20"/>
              </w:rPr>
              <w:t>Volet PC : réalisé en décembre 2016</w:t>
            </w:r>
          </w:p>
          <w:p w:rsidR="0055535A" w:rsidRDefault="0055535A">
            <w:pPr>
              <w:rPr>
                <w:rFonts w:cs="Arial"/>
                <w:sz w:val="20"/>
                <w:szCs w:val="20"/>
              </w:rPr>
            </w:pPr>
          </w:p>
        </w:tc>
      </w:tr>
      <w:tr w:rsidR="0055535A" w:rsidTr="0055535A">
        <w:trPr>
          <w:trHeight w:val="255"/>
        </w:trPr>
        <w:tc>
          <w:tcPr>
            <w:tcW w:w="34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535A" w:rsidRDefault="0055535A">
            <w:pPr>
              <w:rPr>
                <w:rFonts w:eastAsia="Arial Unicode MS" w:cs="Arial"/>
                <w:sz w:val="20"/>
                <w:szCs w:val="20"/>
              </w:rPr>
            </w:pPr>
            <w:r>
              <w:rPr>
                <w:sz w:val="20"/>
              </w:rPr>
              <w:t>Missions de backstopping depuis le 01/01/2012</w:t>
            </w:r>
          </w:p>
        </w:tc>
        <w:tc>
          <w:tcPr>
            <w:tcW w:w="52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5535A" w:rsidRDefault="0055535A">
            <w:pPr>
              <w:rPr>
                <w:sz w:val="20"/>
              </w:rPr>
            </w:pPr>
          </w:p>
          <w:p w:rsidR="0055535A" w:rsidRDefault="0055535A">
            <w:pPr>
              <w:rPr>
                <w:sz w:val="20"/>
              </w:rPr>
            </w:pPr>
            <w:r>
              <w:rPr>
                <w:sz w:val="20"/>
              </w:rPr>
              <w:t>18/03/2012 – 25/03/2012</w:t>
            </w:r>
          </w:p>
          <w:p w:rsidR="0055535A" w:rsidRDefault="0055535A">
            <w:pPr>
              <w:rPr>
                <w:sz w:val="20"/>
              </w:rPr>
            </w:pPr>
            <w:r>
              <w:rPr>
                <w:sz w:val="20"/>
              </w:rPr>
              <w:t>02/05/2012 – 09/05/2012</w:t>
            </w:r>
          </w:p>
          <w:p w:rsidR="0055535A" w:rsidRDefault="0055535A">
            <w:pPr>
              <w:rPr>
                <w:sz w:val="20"/>
              </w:rPr>
            </w:pPr>
            <w:r>
              <w:rPr>
                <w:sz w:val="20"/>
              </w:rPr>
              <w:t>16/09/2012 – 23/09/2012</w:t>
            </w:r>
          </w:p>
          <w:p w:rsidR="0055535A" w:rsidRDefault="0055535A">
            <w:pPr>
              <w:rPr>
                <w:sz w:val="20"/>
              </w:rPr>
            </w:pPr>
          </w:p>
          <w:p w:rsidR="0055535A" w:rsidRDefault="0055535A">
            <w:pPr>
              <w:rPr>
                <w:sz w:val="20"/>
              </w:rPr>
            </w:pPr>
            <w:r>
              <w:rPr>
                <w:sz w:val="20"/>
              </w:rPr>
              <w:t>03/03/2013 – 09/03/2013</w:t>
            </w:r>
          </w:p>
          <w:p w:rsidR="0055535A" w:rsidRDefault="0055535A">
            <w:pPr>
              <w:rPr>
                <w:sz w:val="20"/>
              </w:rPr>
            </w:pPr>
            <w:r>
              <w:rPr>
                <w:sz w:val="20"/>
              </w:rPr>
              <w:t>14/07/2013 – 22/07/2013</w:t>
            </w:r>
          </w:p>
          <w:p w:rsidR="0055535A" w:rsidRDefault="0055535A">
            <w:pPr>
              <w:rPr>
                <w:sz w:val="20"/>
              </w:rPr>
            </w:pPr>
          </w:p>
          <w:p w:rsidR="0055535A" w:rsidRDefault="0055535A">
            <w:pPr>
              <w:rPr>
                <w:sz w:val="20"/>
              </w:rPr>
            </w:pPr>
            <w:r>
              <w:rPr>
                <w:sz w:val="20"/>
              </w:rPr>
              <w:t>11/05/2014 – 18/05/2014</w:t>
            </w:r>
          </w:p>
          <w:p w:rsidR="0055535A" w:rsidRDefault="0055535A">
            <w:pPr>
              <w:rPr>
                <w:sz w:val="20"/>
              </w:rPr>
            </w:pPr>
            <w:r>
              <w:rPr>
                <w:sz w:val="20"/>
              </w:rPr>
              <w:t>26/10/2014 – 03/11/2014</w:t>
            </w:r>
          </w:p>
          <w:p w:rsidR="0055535A" w:rsidRDefault="0055535A">
            <w:pPr>
              <w:rPr>
                <w:sz w:val="20"/>
              </w:rPr>
            </w:pPr>
          </w:p>
          <w:p w:rsidR="0055535A" w:rsidRDefault="0055535A">
            <w:pPr>
              <w:rPr>
                <w:sz w:val="20"/>
              </w:rPr>
            </w:pPr>
            <w:r>
              <w:rPr>
                <w:sz w:val="20"/>
              </w:rPr>
              <w:t>21/10/2015 – 29/10/2015</w:t>
            </w:r>
          </w:p>
          <w:p w:rsidR="0055535A" w:rsidRDefault="0055535A">
            <w:pPr>
              <w:rPr>
                <w:sz w:val="20"/>
              </w:rPr>
            </w:pPr>
          </w:p>
          <w:p w:rsidR="0055535A" w:rsidRDefault="0055535A">
            <w:pPr>
              <w:rPr>
                <w:sz w:val="20"/>
              </w:rPr>
            </w:pPr>
            <w:r>
              <w:rPr>
                <w:sz w:val="20"/>
              </w:rPr>
              <w:t>25/09/2016 – 02/10/2016</w:t>
            </w:r>
          </w:p>
          <w:p w:rsidR="0055535A" w:rsidRDefault="0055535A">
            <w:pPr>
              <w:rPr>
                <w:sz w:val="20"/>
              </w:rPr>
            </w:pPr>
            <w:r>
              <w:rPr>
                <w:sz w:val="20"/>
              </w:rPr>
              <w:t>16/10/2016 – 26/10/2016</w:t>
            </w:r>
          </w:p>
          <w:p w:rsidR="0055535A" w:rsidRDefault="0055535A">
            <w:pPr>
              <w:rPr>
                <w:rFonts w:cs="Arial"/>
                <w:sz w:val="20"/>
                <w:szCs w:val="20"/>
              </w:rPr>
            </w:pPr>
          </w:p>
        </w:tc>
      </w:tr>
    </w:tbl>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E732F7" w:rsidRDefault="00E732F7" w:rsidP="0055535A">
      <w:pPr>
        <w:rPr>
          <w:rFonts w:cs="Arial"/>
          <w:i/>
          <w:iCs/>
          <w:sz w:val="20"/>
          <w:szCs w:val="20"/>
        </w:rPr>
      </w:pPr>
    </w:p>
    <w:p w:rsidR="00E732F7" w:rsidRDefault="00E732F7" w:rsidP="0055535A">
      <w:pPr>
        <w:rPr>
          <w:rFonts w:cs="Arial"/>
          <w:i/>
          <w:iCs/>
          <w:sz w:val="20"/>
          <w:szCs w:val="20"/>
        </w:rPr>
      </w:pPr>
    </w:p>
    <w:p w:rsidR="00E732F7" w:rsidRDefault="00E732F7" w:rsidP="0055535A">
      <w:pPr>
        <w:rPr>
          <w:rFonts w:cs="Arial"/>
          <w:i/>
          <w:iCs/>
          <w:sz w:val="20"/>
          <w:szCs w:val="20"/>
        </w:rPr>
      </w:pPr>
    </w:p>
    <w:p w:rsidR="00E732F7" w:rsidRDefault="00E732F7" w:rsidP="0055535A">
      <w:pPr>
        <w:rPr>
          <w:rFonts w:cs="Arial"/>
          <w:i/>
          <w:iCs/>
          <w:sz w:val="20"/>
          <w:szCs w:val="20"/>
        </w:rPr>
      </w:pPr>
    </w:p>
    <w:p w:rsidR="00E732F7" w:rsidRDefault="00E732F7" w:rsidP="0055535A">
      <w:pPr>
        <w:rPr>
          <w:rFonts w:cs="Arial"/>
          <w:i/>
          <w:iCs/>
          <w:sz w:val="20"/>
          <w:szCs w:val="20"/>
        </w:rPr>
      </w:pPr>
    </w:p>
    <w:p w:rsidR="00E732F7" w:rsidRDefault="00E732F7" w:rsidP="0055535A">
      <w:pPr>
        <w:rPr>
          <w:rFonts w:cs="Arial"/>
          <w:i/>
          <w:iCs/>
          <w:sz w:val="20"/>
          <w:szCs w:val="20"/>
        </w:rPr>
      </w:pPr>
    </w:p>
    <w:p w:rsidR="0055535A" w:rsidRDefault="0055535A" w:rsidP="0055535A">
      <w:pPr>
        <w:rPr>
          <w:rFonts w:cs="Arial"/>
          <w:i/>
          <w:iCs/>
          <w:sz w:val="20"/>
          <w:szCs w:val="20"/>
        </w:rPr>
      </w:pPr>
    </w:p>
    <w:p w:rsidR="0055535A" w:rsidRDefault="0055535A" w:rsidP="0055535A">
      <w:pPr>
        <w:rPr>
          <w:rFonts w:cs="Arial"/>
          <w:i/>
          <w:iCs/>
          <w:sz w:val="20"/>
          <w:szCs w:val="20"/>
        </w:rPr>
      </w:pPr>
    </w:p>
    <w:p w:rsidR="0055535A" w:rsidRDefault="0055535A" w:rsidP="0055535A">
      <w:pPr>
        <w:pStyle w:val="Titre2"/>
        <w:numPr>
          <w:ilvl w:val="0"/>
          <w:numId w:val="0"/>
        </w:numPr>
        <w:tabs>
          <w:tab w:val="left" w:pos="708"/>
        </w:tabs>
        <w:ind w:left="1080"/>
        <w:rPr>
          <w:color w:val="FF0000"/>
          <w:sz w:val="28"/>
        </w:rPr>
      </w:pPr>
      <w:bookmarkStart w:id="210" w:name="_Toc370464109"/>
      <w:bookmarkStart w:id="211" w:name="_Toc370814223"/>
      <w:bookmarkStart w:id="212" w:name="_Toc370814299"/>
      <w:bookmarkStart w:id="213" w:name="_Toc475972216"/>
      <w:r>
        <w:t xml:space="preserve">4.5 </w:t>
      </w:r>
      <w:bookmarkStart w:id="214" w:name="_Toc411938890"/>
      <w:r>
        <w:t>Rapport « Budget versus Actuels (y – m) »</w:t>
      </w:r>
      <w:bookmarkEnd w:id="86"/>
      <w:bookmarkEnd w:id="206"/>
      <w:bookmarkEnd w:id="210"/>
      <w:bookmarkEnd w:id="211"/>
      <w:bookmarkEnd w:id="212"/>
      <w:bookmarkEnd w:id="213"/>
      <w:bookmarkEnd w:id="214"/>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p>
    <w:p w:rsidR="0055535A" w:rsidRDefault="0055535A" w:rsidP="0055535A">
      <w:pPr>
        <w:rPr>
          <w:u w:val="single"/>
        </w:rPr>
      </w:pPr>
      <w:r>
        <w:rPr>
          <w:u w:val="single"/>
        </w:rPr>
        <w:t>Volet 4 :</w:t>
      </w:r>
    </w:p>
    <w:p w:rsidR="0055535A" w:rsidRDefault="0055535A" w:rsidP="0055535A">
      <w:pPr>
        <w:rPr>
          <w:sz w:val="12"/>
          <w:szCs w:val="12"/>
        </w:rPr>
      </w:pP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p>
    <w:p w:rsidR="0055535A" w:rsidRDefault="0055535A"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55535A" w:rsidRDefault="0055535A" w:rsidP="0055535A">
      <w:pPr>
        <w:rPr>
          <w:sz w:val="12"/>
          <w:szCs w:val="12"/>
        </w:rPr>
      </w:pPr>
    </w:p>
    <w:p w:rsidR="0055535A" w:rsidRDefault="0055535A" w:rsidP="0055535A">
      <w:pPr>
        <w:rPr>
          <w:u w:val="single"/>
        </w:rPr>
      </w:pPr>
      <w:r>
        <w:rPr>
          <w:u w:val="single"/>
        </w:rPr>
        <w:t>Volet 5 :</w:t>
      </w:r>
    </w:p>
    <w:p w:rsidR="0055535A" w:rsidRDefault="0055535A" w:rsidP="0055535A">
      <w:pPr>
        <w:rPr>
          <w:sz w:val="12"/>
          <w:szCs w:val="12"/>
        </w:rPr>
      </w:pP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p>
    <w:p w:rsidR="0055535A" w:rsidRDefault="0055535A"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DB3D03" w:rsidRDefault="00DB3D03" w:rsidP="0055535A">
      <w:pPr>
        <w:rPr>
          <w:sz w:val="12"/>
          <w:szCs w:val="12"/>
        </w:rPr>
      </w:pPr>
    </w:p>
    <w:p w:rsidR="0055535A" w:rsidRDefault="0055535A" w:rsidP="0055535A">
      <w:pPr>
        <w:rPr>
          <w:sz w:val="12"/>
          <w:szCs w:val="12"/>
        </w:rPr>
      </w:pPr>
    </w:p>
    <w:p w:rsidR="0055535A" w:rsidRDefault="0055535A" w:rsidP="0055535A">
      <w:pPr>
        <w:rPr>
          <w:u w:val="single"/>
        </w:rPr>
      </w:pPr>
      <w:r>
        <w:rPr>
          <w:u w:val="single"/>
        </w:rPr>
        <w:t>Volet PC :</w:t>
      </w:r>
    </w:p>
    <w:p w:rsidR="0055535A" w:rsidRDefault="0055535A" w:rsidP="0055535A">
      <w:pPr>
        <w:rPr>
          <w:sz w:val="12"/>
          <w:szCs w:val="12"/>
        </w:rPr>
      </w:pP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r>
        <w:rPr>
          <w:noProof/>
          <w:sz w:val="12"/>
          <w:szCs w:val="12"/>
          <w:lang w:val="fr-BE" w:eastAsia="fr-BE"/>
        </w:rPr>
        <w:drawing>
          <wp:inline distT="0" distB="0" distL="0" distR="0">
            <wp:extent cx="5047615" cy="3555365"/>
            <wp:effectExtent l="0" t="0" r="63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47615" cy="3555365"/>
                    </a:xfrm>
                    <a:prstGeom prst="rect">
                      <a:avLst/>
                    </a:prstGeom>
                    <a:noFill/>
                    <a:ln>
                      <a:noFill/>
                    </a:ln>
                  </pic:spPr>
                </pic:pic>
              </a:graphicData>
            </a:graphic>
          </wp:inline>
        </w:drawing>
      </w:r>
    </w:p>
    <w:p w:rsidR="0055535A" w:rsidRDefault="0055535A" w:rsidP="0055535A">
      <w:pPr>
        <w:rPr>
          <w:sz w:val="12"/>
          <w:szCs w:val="12"/>
        </w:rPr>
      </w:pPr>
    </w:p>
    <w:p w:rsidR="0055535A" w:rsidRDefault="0055535A" w:rsidP="0055535A">
      <w:pPr>
        <w:rPr>
          <w:sz w:val="12"/>
          <w:szCs w:val="12"/>
        </w:rPr>
      </w:pPr>
    </w:p>
    <w:p w:rsidR="0055535A" w:rsidRDefault="0055535A" w:rsidP="0055535A">
      <w:pPr>
        <w:rPr>
          <w:sz w:val="12"/>
          <w:szCs w:val="12"/>
        </w:rPr>
      </w:pPr>
    </w:p>
    <w:p w:rsidR="005E7472" w:rsidRDefault="005E7472"/>
    <w:sectPr w:rsidR="005E74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498" w:rsidRDefault="00E51498" w:rsidP="0055535A">
      <w:r>
        <w:separator/>
      </w:r>
    </w:p>
  </w:endnote>
  <w:endnote w:type="continuationSeparator" w:id="0">
    <w:p w:rsidR="00E51498" w:rsidRDefault="00E51498" w:rsidP="0055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378239"/>
      <w:docPartObj>
        <w:docPartGallery w:val="Page Numbers (Bottom of Page)"/>
        <w:docPartUnique/>
      </w:docPartObj>
    </w:sdtPr>
    <w:sdtEndPr/>
    <w:sdtContent>
      <w:p w:rsidR="005E7472" w:rsidRDefault="005E7472">
        <w:pPr>
          <w:pStyle w:val="Pieddepage"/>
          <w:jc w:val="right"/>
        </w:pPr>
        <w:r>
          <w:fldChar w:fldCharType="begin"/>
        </w:r>
        <w:r>
          <w:instrText>PAGE   \* MERGEFORMAT</w:instrText>
        </w:r>
        <w:r>
          <w:fldChar w:fldCharType="separate"/>
        </w:r>
        <w:r w:rsidR="00E51498">
          <w:rPr>
            <w:noProof/>
          </w:rPr>
          <w:t>1</w:t>
        </w:r>
        <w:r>
          <w:fldChar w:fldCharType="end"/>
        </w:r>
      </w:p>
    </w:sdtContent>
  </w:sdt>
  <w:p w:rsidR="005E7472" w:rsidRDefault="00AE2A97">
    <w:pPr>
      <w:pStyle w:val="Pieddepage"/>
    </w:pPr>
    <w:r>
      <w:t>Rapport résultats 2016-PAISS BDI1006811, BDI1307911 et BDI1408811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498" w:rsidRDefault="00E51498" w:rsidP="0055535A">
      <w:r>
        <w:separator/>
      </w:r>
    </w:p>
  </w:footnote>
  <w:footnote w:type="continuationSeparator" w:id="0">
    <w:p w:rsidR="00E51498" w:rsidRDefault="00E51498" w:rsidP="0055535A">
      <w:r>
        <w:continuationSeparator/>
      </w:r>
    </w:p>
  </w:footnote>
  <w:footnote w:id="1">
    <w:p w:rsidR="005E7472" w:rsidRDefault="005E7472" w:rsidP="0055535A">
      <w:pPr>
        <w:pStyle w:val="Notedebasdepage"/>
      </w:pPr>
      <w:r>
        <w:rPr>
          <w:rStyle w:val="Appelnotedebasdep"/>
          <w:rFonts w:eastAsia="Arial Unicode MS"/>
        </w:rPr>
        <w:footnoteRef/>
      </w:r>
      <w:r>
        <w:t xml:space="preserve"> L'impact se réfère à l'objectif général ; l'outcome se réfère à l'objectif spécifique ; l'output se réfère au résultat escompté</w:t>
      </w:r>
    </w:p>
  </w:footnote>
  <w:footnote w:id="2">
    <w:p w:rsidR="005E7472" w:rsidRDefault="005E7472" w:rsidP="0055535A">
      <w:pPr>
        <w:pStyle w:val="Notedebasdepage"/>
        <w:rPr>
          <w:color w:val="FF0000"/>
        </w:rPr>
      </w:pPr>
      <w:r>
        <w:rPr>
          <w:rStyle w:val="Appelnotedebasdep"/>
          <w:rFonts w:eastAsia="Arial Unicode MS"/>
        </w:rPr>
        <w:footnoteRef/>
      </w:r>
      <w:r>
        <w:rPr>
          <w:color w:val="FF0000"/>
        </w:rPr>
        <w:t xml:space="preserve"> </w:t>
      </w:r>
      <w:r>
        <w:t>L'impact se réfère à l'objectif général ; l'outcome se réfère à l'objectif spécifique ; l'output se réfère au résultat escompté</w:t>
      </w:r>
    </w:p>
  </w:footnote>
  <w:footnote w:id="3">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4">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5">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6">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7">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8">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9">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10">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11">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12">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13">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 w:id="14">
    <w:p w:rsidR="005E7472" w:rsidRDefault="005E7472" w:rsidP="0055535A">
      <w:pPr>
        <w:pStyle w:val="Notedebasdepage"/>
      </w:pPr>
      <w:r>
        <w:rPr>
          <w:rStyle w:val="Appelnotedebasdep"/>
          <w:rFonts w:eastAsia="Arial Unicode MS"/>
        </w:rPr>
        <w:footnoteRef/>
      </w:r>
      <w:r>
        <w:t xml:space="preserve"> </w:t>
      </w:r>
      <w:r>
        <w:tab/>
        <w:t>A :</w:t>
      </w:r>
      <w:r>
        <w:tab/>
        <w:t>Les activités sont en avance</w:t>
      </w:r>
    </w:p>
    <w:p w:rsidR="005E7472" w:rsidRDefault="005E7472" w:rsidP="0055535A">
      <w:pPr>
        <w:pStyle w:val="Notedebasdepage"/>
        <w:ind w:firstLine="0"/>
      </w:pPr>
      <w:r>
        <w:t>B</w:t>
      </w:r>
      <w:r>
        <w:tab/>
        <w:t>Les activités sont dans les délais</w:t>
      </w:r>
    </w:p>
    <w:p w:rsidR="005E7472" w:rsidRDefault="005E7472" w:rsidP="0055535A">
      <w:pPr>
        <w:pStyle w:val="Notedebasdepage"/>
        <w:ind w:firstLine="0"/>
      </w:pPr>
      <w:r>
        <w:t>C</w:t>
      </w:r>
      <w:r>
        <w:tab/>
        <w:t xml:space="preserve">Les activités sont retardées ; des mesures correctives doivent être prises. </w:t>
      </w:r>
    </w:p>
    <w:p w:rsidR="005E7472" w:rsidRDefault="005E7472" w:rsidP="0055535A">
      <w:pPr>
        <w:pStyle w:val="Notedebasdepage"/>
        <w:ind w:firstLine="0"/>
      </w:pPr>
      <w:r>
        <w:t>D</w:t>
      </w:r>
      <w:r>
        <w:tab/>
        <w:t>Les activités ont pris un sérieux retard (plus de 6 mois). Des mesures correctives majeures sont requises.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34CF4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1"/>
    <w:multiLevelType w:val="multilevel"/>
    <w:tmpl w:val="E7987742"/>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3978"/>
        </w:tabs>
        <w:ind w:left="3978" w:hanging="576"/>
      </w:pPr>
    </w:lvl>
    <w:lvl w:ilvl="2">
      <w:start w:val="1"/>
      <w:numFmt w:val="decimal"/>
      <w:pStyle w:val="Titre3"/>
      <w:lvlText w:val="%1.%2.%3"/>
      <w:lvlJc w:val="left"/>
      <w:pPr>
        <w:tabs>
          <w:tab w:val="num" w:pos="2138"/>
        </w:tabs>
        <w:ind w:left="2138" w:hanging="720"/>
      </w:pPr>
      <w:rPr>
        <w:sz w:val="20"/>
        <w:szCs w:val="20"/>
      </w:r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2">
    <w:nsid w:val="00B129E3"/>
    <w:multiLevelType w:val="hybridMultilevel"/>
    <w:tmpl w:val="A6FCC662"/>
    <w:lvl w:ilvl="0" w:tplc="26D0778C">
      <w:start w:val="4"/>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9E08A0"/>
    <w:multiLevelType w:val="hybridMultilevel"/>
    <w:tmpl w:val="2F1236FA"/>
    <w:lvl w:ilvl="0" w:tplc="5DFAA32E">
      <w:numFmt w:val="bullet"/>
      <w:lvlText w:val="-"/>
      <w:lvlJc w:val="left"/>
      <w:pPr>
        <w:ind w:left="360" w:hanging="360"/>
      </w:pPr>
      <w:rPr>
        <w:rFonts w:ascii="Calibri" w:hAnsi="Calibri" w:cs="Calibri" w:hint="default"/>
        <w:b w:val="0"/>
        <w:i w:val="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0DA7718C"/>
    <w:multiLevelType w:val="hybridMultilevel"/>
    <w:tmpl w:val="C3203E8E"/>
    <w:lvl w:ilvl="0" w:tplc="DBF005F6">
      <w:numFmt w:val="bullet"/>
      <w:lvlText w:val="-"/>
      <w:lvlJc w:val="center"/>
      <w:pPr>
        <w:ind w:left="360" w:hanging="360"/>
      </w:pPr>
      <w:rPr>
        <w:rFonts w:ascii="Arial" w:eastAsia="Times New Roman" w:hAnsi="Arial" w:cs="Times New Roman"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5">
    <w:nsid w:val="15C15303"/>
    <w:multiLevelType w:val="hybridMultilevel"/>
    <w:tmpl w:val="5B76392A"/>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360591A"/>
    <w:multiLevelType w:val="hybridMultilevel"/>
    <w:tmpl w:val="53A2F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C876D64"/>
    <w:multiLevelType w:val="hybridMultilevel"/>
    <w:tmpl w:val="B4860324"/>
    <w:lvl w:ilvl="0" w:tplc="FC423610">
      <w:start w:val="1"/>
      <w:numFmt w:val="decimal"/>
      <w:pStyle w:val="BTCnumberlist"/>
      <w:lvlText w:val="%1."/>
      <w:lvlJc w:val="left"/>
      <w:pPr>
        <w:tabs>
          <w:tab w:val="num" w:pos="2138"/>
        </w:tabs>
        <w:ind w:left="2138" w:hanging="360"/>
      </w:pPr>
    </w:lvl>
    <w:lvl w:ilvl="1" w:tplc="9306BDF4">
      <w:start w:val="1"/>
      <w:numFmt w:val="lowerLetter"/>
      <w:lvlText w:val="%2."/>
      <w:lvlJc w:val="left"/>
      <w:pPr>
        <w:tabs>
          <w:tab w:val="num" w:pos="2858"/>
        </w:tabs>
        <w:ind w:left="2858" w:hanging="360"/>
      </w:pPr>
    </w:lvl>
    <w:lvl w:ilvl="2" w:tplc="D690F7A4">
      <w:start w:val="1"/>
      <w:numFmt w:val="lowerRoman"/>
      <w:lvlText w:val="%3."/>
      <w:lvlJc w:val="right"/>
      <w:pPr>
        <w:tabs>
          <w:tab w:val="num" w:pos="3578"/>
        </w:tabs>
        <w:ind w:left="3578" w:hanging="180"/>
      </w:pPr>
    </w:lvl>
    <w:lvl w:ilvl="3" w:tplc="0DB8B49A">
      <w:start w:val="1"/>
      <w:numFmt w:val="decimal"/>
      <w:lvlText w:val="%4."/>
      <w:lvlJc w:val="left"/>
      <w:pPr>
        <w:tabs>
          <w:tab w:val="num" w:pos="4298"/>
        </w:tabs>
        <w:ind w:left="4298" w:hanging="360"/>
      </w:pPr>
    </w:lvl>
    <w:lvl w:ilvl="4" w:tplc="EAA09D5A">
      <w:start w:val="1"/>
      <w:numFmt w:val="lowerLetter"/>
      <w:lvlText w:val="%5."/>
      <w:lvlJc w:val="left"/>
      <w:pPr>
        <w:tabs>
          <w:tab w:val="num" w:pos="5018"/>
        </w:tabs>
        <w:ind w:left="5018" w:hanging="360"/>
      </w:pPr>
    </w:lvl>
    <w:lvl w:ilvl="5" w:tplc="05781E2A">
      <w:start w:val="1"/>
      <w:numFmt w:val="lowerRoman"/>
      <w:lvlText w:val="%6."/>
      <w:lvlJc w:val="right"/>
      <w:pPr>
        <w:tabs>
          <w:tab w:val="num" w:pos="5738"/>
        </w:tabs>
        <w:ind w:left="5738" w:hanging="180"/>
      </w:pPr>
    </w:lvl>
    <w:lvl w:ilvl="6" w:tplc="961419F6">
      <w:start w:val="1"/>
      <w:numFmt w:val="decimal"/>
      <w:lvlText w:val="%7."/>
      <w:lvlJc w:val="left"/>
      <w:pPr>
        <w:tabs>
          <w:tab w:val="num" w:pos="6458"/>
        </w:tabs>
        <w:ind w:left="6458" w:hanging="360"/>
      </w:pPr>
    </w:lvl>
    <w:lvl w:ilvl="7" w:tplc="4A702052">
      <w:start w:val="1"/>
      <w:numFmt w:val="lowerLetter"/>
      <w:lvlText w:val="%8."/>
      <w:lvlJc w:val="left"/>
      <w:pPr>
        <w:tabs>
          <w:tab w:val="num" w:pos="7178"/>
        </w:tabs>
        <w:ind w:left="7178" w:hanging="360"/>
      </w:pPr>
    </w:lvl>
    <w:lvl w:ilvl="8" w:tplc="6750D4CC">
      <w:start w:val="1"/>
      <w:numFmt w:val="lowerRoman"/>
      <w:lvlText w:val="%9."/>
      <w:lvlJc w:val="right"/>
      <w:pPr>
        <w:tabs>
          <w:tab w:val="num" w:pos="7898"/>
        </w:tabs>
        <w:ind w:left="7898" w:hanging="180"/>
      </w:pPr>
    </w:lvl>
  </w:abstractNum>
  <w:abstractNum w:abstractNumId="8">
    <w:nsid w:val="2CE041FB"/>
    <w:multiLevelType w:val="hybridMultilevel"/>
    <w:tmpl w:val="22B493EC"/>
    <w:lvl w:ilvl="0" w:tplc="A210B422">
      <w:start w:val="2"/>
      <w:numFmt w:val="decimal"/>
      <w:lvlText w:val="%1.2"/>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9">
    <w:nsid w:val="30AC65D0"/>
    <w:multiLevelType w:val="multilevel"/>
    <w:tmpl w:val="4EEABE78"/>
    <w:lvl w:ilvl="0">
      <w:start w:val="1"/>
      <w:numFmt w:val="decimal"/>
      <w:pStyle w:val="BulletText1"/>
      <w:lvlText w:val="%1"/>
      <w:lvlJc w:val="left"/>
      <w:pPr>
        <w:tabs>
          <w:tab w:val="num" w:pos="720"/>
        </w:tabs>
        <w:ind w:left="720" w:hanging="72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567" w:hanging="567"/>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3BA97435"/>
    <w:multiLevelType w:val="hybridMultilevel"/>
    <w:tmpl w:val="AA68C530"/>
    <w:lvl w:ilvl="0" w:tplc="C12A230E">
      <w:start w:val="2012"/>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1">
    <w:nsid w:val="3E283F0B"/>
    <w:multiLevelType w:val="multilevel"/>
    <w:tmpl w:val="E0C8D2BE"/>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pStyle w:val="Liste"/>
      <w:lvlText w:val="%1.%2.%3.%4.%5.%6.%7.%8.%9."/>
      <w:lvlJc w:val="left"/>
      <w:pPr>
        <w:tabs>
          <w:tab w:val="num" w:pos="5760"/>
        </w:tabs>
        <w:ind w:left="4680" w:hanging="1440"/>
      </w:pPr>
    </w:lvl>
  </w:abstractNum>
  <w:abstractNum w:abstractNumId="12">
    <w:nsid w:val="436660AB"/>
    <w:multiLevelType w:val="hybridMultilevel"/>
    <w:tmpl w:val="927C0E52"/>
    <w:lvl w:ilvl="0" w:tplc="836A0EEA">
      <w:numFmt w:val="bullet"/>
      <w:lvlText w:val="-"/>
      <w:lvlJc w:val="left"/>
      <w:pPr>
        <w:ind w:left="720" w:hanging="360"/>
      </w:pPr>
      <w:rPr>
        <w:rFonts w:ascii="Arial" w:eastAsia="Arial Unicode MS"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nsid w:val="44093F0F"/>
    <w:multiLevelType w:val="hybridMultilevel"/>
    <w:tmpl w:val="6EE812CA"/>
    <w:lvl w:ilvl="0" w:tplc="4606DD20">
      <w:start w:val="1"/>
      <w:numFmt w:val="bullet"/>
      <w:pStyle w:val="BTCBullets"/>
      <w:lvlText w:val=""/>
      <w:lvlJc w:val="left"/>
      <w:pPr>
        <w:tabs>
          <w:tab w:val="num" w:pos="363"/>
        </w:tabs>
        <w:ind w:left="363" w:hanging="363"/>
      </w:pPr>
      <w:rPr>
        <w:rFonts w:ascii="Symbol" w:hAnsi="Symbol" w:cs="Times New Roman" w:hint="default"/>
      </w:rPr>
    </w:lvl>
    <w:lvl w:ilvl="1" w:tplc="C8CE0F32">
      <w:start w:val="1"/>
      <w:numFmt w:val="bullet"/>
      <w:lvlText w:val="o"/>
      <w:lvlJc w:val="left"/>
      <w:pPr>
        <w:tabs>
          <w:tab w:val="num" w:pos="1083"/>
        </w:tabs>
        <w:ind w:left="1083" w:hanging="360"/>
      </w:pPr>
      <w:rPr>
        <w:rFonts w:ascii="Courier New" w:hAnsi="Courier New" w:cs="Courier New" w:hint="default"/>
      </w:rPr>
    </w:lvl>
    <w:lvl w:ilvl="2" w:tplc="75E448AE">
      <w:start w:val="1"/>
      <w:numFmt w:val="bullet"/>
      <w:lvlText w:val=""/>
      <w:lvlJc w:val="left"/>
      <w:pPr>
        <w:tabs>
          <w:tab w:val="num" w:pos="1803"/>
        </w:tabs>
        <w:ind w:left="1803" w:hanging="360"/>
      </w:pPr>
      <w:rPr>
        <w:rFonts w:ascii="Wingdings" w:hAnsi="Wingdings" w:cs="Times New Roman" w:hint="default"/>
      </w:rPr>
    </w:lvl>
    <w:lvl w:ilvl="3" w:tplc="BEC28E44">
      <w:start w:val="1"/>
      <w:numFmt w:val="bullet"/>
      <w:lvlText w:val=""/>
      <w:lvlJc w:val="left"/>
      <w:pPr>
        <w:tabs>
          <w:tab w:val="num" w:pos="2523"/>
        </w:tabs>
        <w:ind w:left="2523" w:hanging="360"/>
      </w:pPr>
      <w:rPr>
        <w:rFonts w:ascii="Symbol" w:hAnsi="Symbol" w:cs="Times New Roman" w:hint="default"/>
      </w:rPr>
    </w:lvl>
    <w:lvl w:ilvl="4" w:tplc="5DBC8134">
      <w:start w:val="1"/>
      <w:numFmt w:val="bullet"/>
      <w:lvlText w:val="o"/>
      <w:lvlJc w:val="left"/>
      <w:pPr>
        <w:tabs>
          <w:tab w:val="num" w:pos="3243"/>
        </w:tabs>
        <w:ind w:left="3243" w:hanging="360"/>
      </w:pPr>
      <w:rPr>
        <w:rFonts w:ascii="Courier New" w:hAnsi="Courier New" w:cs="Courier New" w:hint="default"/>
      </w:rPr>
    </w:lvl>
    <w:lvl w:ilvl="5" w:tplc="21CA8A36">
      <w:start w:val="1"/>
      <w:numFmt w:val="bullet"/>
      <w:lvlText w:val=""/>
      <w:lvlJc w:val="left"/>
      <w:pPr>
        <w:tabs>
          <w:tab w:val="num" w:pos="3963"/>
        </w:tabs>
        <w:ind w:left="3963" w:hanging="360"/>
      </w:pPr>
      <w:rPr>
        <w:rFonts w:ascii="Wingdings" w:hAnsi="Wingdings" w:cs="Times New Roman" w:hint="default"/>
      </w:rPr>
    </w:lvl>
    <w:lvl w:ilvl="6" w:tplc="DB3E7BD6">
      <w:start w:val="1"/>
      <w:numFmt w:val="bullet"/>
      <w:lvlText w:val=""/>
      <w:lvlJc w:val="left"/>
      <w:pPr>
        <w:tabs>
          <w:tab w:val="num" w:pos="4683"/>
        </w:tabs>
        <w:ind w:left="4683" w:hanging="360"/>
      </w:pPr>
      <w:rPr>
        <w:rFonts w:ascii="Symbol" w:hAnsi="Symbol" w:cs="Times New Roman" w:hint="default"/>
      </w:rPr>
    </w:lvl>
    <w:lvl w:ilvl="7" w:tplc="648CB59C">
      <w:start w:val="1"/>
      <w:numFmt w:val="bullet"/>
      <w:lvlText w:val="o"/>
      <w:lvlJc w:val="left"/>
      <w:pPr>
        <w:tabs>
          <w:tab w:val="num" w:pos="5403"/>
        </w:tabs>
        <w:ind w:left="5403" w:hanging="360"/>
      </w:pPr>
      <w:rPr>
        <w:rFonts w:ascii="Courier New" w:hAnsi="Courier New" w:cs="Courier New" w:hint="default"/>
      </w:rPr>
    </w:lvl>
    <w:lvl w:ilvl="8" w:tplc="98625820">
      <w:start w:val="1"/>
      <w:numFmt w:val="bullet"/>
      <w:lvlText w:val=""/>
      <w:lvlJc w:val="left"/>
      <w:pPr>
        <w:tabs>
          <w:tab w:val="num" w:pos="6123"/>
        </w:tabs>
        <w:ind w:left="6123" w:hanging="360"/>
      </w:pPr>
      <w:rPr>
        <w:rFonts w:ascii="Wingdings" w:hAnsi="Wingdings" w:cs="Times New Roman" w:hint="default"/>
      </w:rPr>
    </w:lvl>
  </w:abstractNum>
  <w:abstractNum w:abstractNumId="14">
    <w:nsid w:val="48D12FA6"/>
    <w:multiLevelType w:val="hybridMultilevel"/>
    <w:tmpl w:val="E34C57EA"/>
    <w:lvl w:ilvl="0" w:tplc="03BEFBAE">
      <w:numFmt w:val="bullet"/>
      <w:lvlText w:val="-"/>
      <w:lvlJc w:val="left"/>
      <w:pPr>
        <w:ind w:left="720" w:hanging="360"/>
      </w:pPr>
      <w:rPr>
        <w:rFonts w:ascii="Arial" w:eastAsia="Times New Roman" w:hAnsi="Arial" w:cs="Arial" w:hint="default"/>
        <w:b/>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5">
    <w:nsid w:val="48DF54E5"/>
    <w:multiLevelType w:val="hybridMultilevel"/>
    <w:tmpl w:val="4FB2F502"/>
    <w:lvl w:ilvl="0" w:tplc="5DFAA32E">
      <w:numFmt w:val="bullet"/>
      <w:lvlText w:val="-"/>
      <w:lvlJc w:val="left"/>
      <w:pPr>
        <w:ind w:left="720" w:hanging="360"/>
      </w:pPr>
      <w:rPr>
        <w:rFonts w:ascii="Calibri" w:hAnsi="Calibri" w:cs="Calibri" w:hint="default"/>
        <w:b w:val="0"/>
        <w:i w:val="0"/>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nsid w:val="531518F9"/>
    <w:multiLevelType w:val="hybridMultilevel"/>
    <w:tmpl w:val="1662F528"/>
    <w:lvl w:ilvl="0" w:tplc="93CEE0F8">
      <w:start w:val="3"/>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7">
    <w:nsid w:val="53C037F8"/>
    <w:multiLevelType w:val="hybridMultilevel"/>
    <w:tmpl w:val="29D2DA86"/>
    <w:lvl w:ilvl="0" w:tplc="84A898D2">
      <w:numFmt w:val="bullet"/>
      <w:lvlText w:val="-"/>
      <w:lvlJc w:val="left"/>
      <w:pPr>
        <w:ind w:left="360" w:hanging="360"/>
      </w:pPr>
      <w:rPr>
        <w:rFonts w:ascii="Calibri" w:eastAsia="Calibri" w:hAnsi="Calibri" w:cs="Aria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8">
    <w:nsid w:val="545878A1"/>
    <w:multiLevelType w:val="hybridMultilevel"/>
    <w:tmpl w:val="3B3C0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D1D6F15"/>
    <w:multiLevelType w:val="hybridMultilevel"/>
    <w:tmpl w:val="915E658A"/>
    <w:lvl w:ilvl="0" w:tplc="C12A230E">
      <w:start w:val="2012"/>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0">
    <w:nsid w:val="67421AFE"/>
    <w:multiLevelType w:val="hybridMultilevel"/>
    <w:tmpl w:val="46741FF6"/>
    <w:lvl w:ilvl="0" w:tplc="256A9E18">
      <w:start w:val="1"/>
      <w:numFmt w:val="bullet"/>
      <w:pStyle w:val="BTCbulletsCTB"/>
      <w:lvlText w:val=""/>
      <w:lvlJc w:val="left"/>
      <w:pPr>
        <w:tabs>
          <w:tab w:val="num" w:pos="1778"/>
        </w:tabs>
        <w:ind w:left="1778" w:hanging="360"/>
      </w:pPr>
      <w:rPr>
        <w:rFonts w:ascii="Symbol" w:hAnsi="Symbol" w:cs="Times New Roman" w:hint="default"/>
      </w:rPr>
    </w:lvl>
    <w:lvl w:ilvl="1" w:tplc="65E09AF6">
      <w:start w:val="1"/>
      <w:numFmt w:val="decimal"/>
      <w:lvlText w:val="%2."/>
      <w:lvlJc w:val="left"/>
      <w:pPr>
        <w:tabs>
          <w:tab w:val="num" w:pos="1440"/>
        </w:tabs>
        <w:ind w:left="1080" w:firstLine="0"/>
      </w:pPr>
    </w:lvl>
    <w:lvl w:ilvl="2" w:tplc="73BEB678">
      <w:start w:val="1"/>
      <w:numFmt w:val="bullet"/>
      <w:lvlText w:val=""/>
      <w:lvlJc w:val="left"/>
      <w:pPr>
        <w:tabs>
          <w:tab w:val="num" w:pos="2160"/>
        </w:tabs>
        <w:ind w:left="2160" w:hanging="360"/>
      </w:pPr>
      <w:rPr>
        <w:rFonts w:ascii="Wingdings" w:hAnsi="Wingdings" w:cs="Times New Roman" w:hint="default"/>
      </w:rPr>
    </w:lvl>
    <w:lvl w:ilvl="3" w:tplc="CBB216D4">
      <w:start w:val="1"/>
      <w:numFmt w:val="bullet"/>
      <w:lvlText w:val=""/>
      <w:lvlJc w:val="left"/>
      <w:pPr>
        <w:tabs>
          <w:tab w:val="num" w:pos="2880"/>
        </w:tabs>
        <w:ind w:left="2880" w:hanging="360"/>
      </w:pPr>
      <w:rPr>
        <w:rFonts w:ascii="Symbol" w:hAnsi="Symbol" w:cs="Times New Roman" w:hint="default"/>
      </w:rPr>
    </w:lvl>
    <w:lvl w:ilvl="4" w:tplc="27AA27B8">
      <w:start w:val="1"/>
      <w:numFmt w:val="bullet"/>
      <w:lvlText w:val="o"/>
      <w:lvlJc w:val="left"/>
      <w:pPr>
        <w:tabs>
          <w:tab w:val="num" w:pos="3600"/>
        </w:tabs>
        <w:ind w:left="3600" w:hanging="360"/>
      </w:pPr>
      <w:rPr>
        <w:rFonts w:ascii="Courier New" w:hAnsi="Courier New" w:cs="Courier New" w:hint="default"/>
      </w:rPr>
    </w:lvl>
    <w:lvl w:ilvl="5" w:tplc="2FB0C9CA">
      <w:start w:val="1"/>
      <w:numFmt w:val="bullet"/>
      <w:lvlText w:val=""/>
      <w:lvlJc w:val="left"/>
      <w:pPr>
        <w:tabs>
          <w:tab w:val="num" w:pos="4320"/>
        </w:tabs>
        <w:ind w:left="4320" w:hanging="360"/>
      </w:pPr>
      <w:rPr>
        <w:rFonts w:ascii="Wingdings" w:hAnsi="Wingdings" w:cs="Times New Roman" w:hint="default"/>
      </w:rPr>
    </w:lvl>
    <w:lvl w:ilvl="6" w:tplc="E55A417E">
      <w:start w:val="1"/>
      <w:numFmt w:val="bullet"/>
      <w:lvlText w:val=""/>
      <w:lvlJc w:val="left"/>
      <w:pPr>
        <w:tabs>
          <w:tab w:val="num" w:pos="5040"/>
        </w:tabs>
        <w:ind w:left="5040" w:hanging="360"/>
      </w:pPr>
      <w:rPr>
        <w:rFonts w:ascii="Symbol" w:hAnsi="Symbol" w:cs="Times New Roman" w:hint="default"/>
      </w:rPr>
    </w:lvl>
    <w:lvl w:ilvl="7" w:tplc="05C6FA7A">
      <w:start w:val="1"/>
      <w:numFmt w:val="bullet"/>
      <w:lvlText w:val="o"/>
      <w:lvlJc w:val="left"/>
      <w:pPr>
        <w:tabs>
          <w:tab w:val="num" w:pos="5760"/>
        </w:tabs>
        <w:ind w:left="5760" w:hanging="360"/>
      </w:pPr>
      <w:rPr>
        <w:rFonts w:ascii="Courier New" w:hAnsi="Courier New" w:cs="Courier New" w:hint="default"/>
      </w:rPr>
    </w:lvl>
    <w:lvl w:ilvl="8" w:tplc="DC5A075A">
      <w:start w:val="1"/>
      <w:numFmt w:val="bullet"/>
      <w:lvlText w:val=""/>
      <w:lvlJc w:val="left"/>
      <w:pPr>
        <w:tabs>
          <w:tab w:val="num" w:pos="6480"/>
        </w:tabs>
        <w:ind w:left="6480" w:hanging="360"/>
      </w:pPr>
      <w:rPr>
        <w:rFonts w:ascii="Wingdings" w:hAnsi="Wingdings" w:cs="Times New Roman" w:hint="default"/>
      </w:rPr>
    </w:lvl>
  </w:abstractNum>
  <w:abstractNum w:abstractNumId="21">
    <w:nsid w:val="6D511184"/>
    <w:multiLevelType w:val="hybridMultilevel"/>
    <w:tmpl w:val="5BC2A6C6"/>
    <w:lvl w:ilvl="0" w:tplc="C12A230E">
      <w:start w:val="2012"/>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nsid w:val="7F7578B5"/>
    <w:multiLevelType w:val="hybridMultilevel"/>
    <w:tmpl w:val="2F88D726"/>
    <w:lvl w:ilvl="0" w:tplc="5DFAA32E">
      <w:numFmt w:val="bullet"/>
      <w:lvlText w:val="-"/>
      <w:lvlJc w:val="left"/>
      <w:pPr>
        <w:ind w:left="360" w:hanging="360"/>
      </w:pPr>
      <w:rPr>
        <w:rFonts w:ascii="Calibri" w:hAnsi="Calibri" w:cs="Calibri" w:hint="default"/>
        <w:b w:val="0"/>
        <w:i w:val="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3">
    <w:nsid w:val="7FCE5AF0"/>
    <w:multiLevelType w:val="hybridMultilevel"/>
    <w:tmpl w:val="31DC46CE"/>
    <w:lvl w:ilvl="0" w:tplc="3BF0F1DC">
      <w:start w:val="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3"/>
  </w:num>
  <w:num w:numId="13">
    <w:abstractNumId w:val="20"/>
    <w:lvlOverride w:ilvl="0"/>
    <w:lvlOverride w:ilvl="1">
      <w:startOverride w:val="1"/>
    </w:lvlOverride>
    <w:lvlOverride w:ilvl="2"/>
    <w:lvlOverride w:ilvl="3"/>
    <w:lvlOverride w:ilvl="4"/>
    <w:lvlOverride w:ilvl="5"/>
    <w:lvlOverride w:ilvl="6"/>
    <w:lvlOverride w:ilvl="7"/>
    <w:lvlOverride w:ilv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num>
  <w:num w:numId="19">
    <w:abstractNumId w:val="10"/>
  </w:num>
  <w:num w:numId="20">
    <w:abstractNumId w:val="12"/>
  </w:num>
  <w:num w:numId="21">
    <w:abstractNumId w:val="17"/>
  </w:num>
  <w:num w:numId="2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2"/>
  </w:num>
  <w:num w:numId="27">
    <w:abstractNumId w:val="18"/>
  </w:num>
  <w:num w:numId="28">
    <w:abstractNumId w:val="6"/>
  </w:num>
  <w:num w:numId="29">
    <w:abstractNumId w:val="16"/>
  </w:num>
  <w:num w:numId="30">
    <w:abstractNumId w:val="14"/>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35A"/>
    <w:rsid w:val="00091706"/>
    <w:rsid w:val="0020217B"/>
    <w:rsid w:val="00367A16"/>
    <w:rsid w:val="004D764B"/>
    <w:rsid w:val="0055535A"/>
    <w:rsid w:val="005E7472"/>
    <w:rsid w:val="00607B63"/>
    <w:rsid w:val="006171BF"/>
    <w:rsid w:val="00622ABB"/>
    <w:rsid w:val="00652A4F"/>
    <w:rsid w:val="00703729"/>
    <w:rsid w:val="00735C44"/>
    <w:rsid w:val="00854F57"/>
    <w:rsid w:val="00AE2A97"/>
    <w:rsid w:val="00AF40A5"/>
    <w:rsid w:val="00C14EF4"/>
    <w:rsid w:val="00C17166"/>
    <w:rsid w:val="00CD1A21"/>
    <w:rsid w:val="00DB3D03"/>
    <w:rsid w:val="00DE23B1"/>
    <w:rsid w:val="00E23422"/>
    <w:rsid w:val="00E51498"/>
    <w:rsid w:val="00E732F7"/>
    <w:rsid w:val="00ED6C4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35A"/>
    <w:pPr>
      <w:widowControl w:val="0"/>
      <w:suppressAutoHyphens/>
      <w:snapToGrid w:val="0"/>
    </w:pPr>
    <w:rPr>
      <w:rFonts w:ascii="Arial" w:hAnsi="Arial"/>
      <w:kern w:val="2"/>
      <w:sz w:val="24"/>
      <w:szCs w:val="24"/>
      <w:lang w:val="fr-FR" w:eastAsia="fr-FR"/>
    </w:rPr>
  </w:style>
  <w:style w:type="paragraph" w:styleId="Titre1">
    <w:name w:val="heading 1"/>
    <w:basedOn w:val="Normal"/>
    <w:next w:val="Normal"/>
    <w:link w:val="Titre1Car"/>
    <w:qFormat/>
    <w:rsid w:val="00AF40A5"/>
    <w:pPr>
      <w:keepNext/>
      <w:pageBreakBefore/>
      <w:numPr>
        <w:numId w:val="9"/>
      </w:numPr>
      <w:spacing w:after="240"/>
      <w:outlineLvl w:val="0"/>
    </w:pPr>
    <w:rPr>
      <w:rFonts w:eastAsia="Arial Unicode MS"/>
      <w:b/>
      <w:bCs/>
      <w:color w:val="50B848"/>
      <w:sz w:val="32"/>
      <w:szCs w:val="32"/>
    </w:rPr>
  </w:style>
  <w:style w:type="paragraph" w:styleId="Titre2">
    <w:name w:val="heading 2"/>
    <w:aliases w:val="Chapter Title"/>
    <w:basedOn w:val="Normal"/>
    <w:next w:val="Normal"/>
    <w:link w:val="Titre2Car"/>
    <w:qFormat/>
    <w:rsid w:val="00AF40A5"/>
    <w:pPr>
      <w:keepNext/>
      <w:numPr>
        <w:ilvl w:val="1"/>
        <w:numId w:val="9"/>
      </w:numPr>
      <w:spacing w:before="120" w:after="240"/>
      <w:outlineLvl w:val="1"/>
    </w:pPr>
    <w:rPr>
      <w:rFonts w:eastAsia="Arial Unicode MS"/>
      <w:b/>
      <w:bCs/>
      <w:color w:val="50B848"/>
      <w:kern w:val="28"/>
      <w:szCs w:val="28"/>
    </w:rPr>
  </w:style>
  <w:style w:type="paragraph" w:styleId="Titre3">
    <w:name w:val="heading 3"/>
    <w:basedOn w:val="Normal"/>
    <w:next w:val="Normal"/>
    <w:link w:val="Titre3Car"/>
    <w:qFormat/>
    <w:rsid w:val="00AF40A5"/>
    <w:pPr>
      <w:keepNext/>
      <w:numPr>
        <w:ilvl w:val="2"/>
        <w:numId w:val="9"/>
      </w:numPr>
      <w:spacing w:before="180" w:after="180"/>
      <w:outlineLvl w:val="2"/>
    </w:pPr>
    <w:rPr>
      <w:rFonts w:eastAsia="Arial Unicode MS"/>
      <w:b/>
      <w:bCs/>
      <w:color w:val="50B848"/>
      <w:kern w:val="18"/>
      <w:sz w:val="20"/>
    </w:rPr>
  </w:style>
  <w:style w:type="paragraph" w:styleId="Titre4">
    <w:name w:val="heading 4"/>
    <w:basedOn w:val="Normal"/>
    <w:next w:val="Normal"/>
    <w:link w:val="Titre4Car"/>
    <w:qFormat/>
    <w:rsid w:val="00AF40A5"/>
    <w:pPr>
      <w:keepNext/>
      <w:numPr>
        <w:ilvl w:val="3"/>
        <w:numId w:val="9"/>
      </w:numPr>
      <w:spacing w:before="120" w:after="120"/>
      <w:outlineLvl w:val="3"/>
    </w:pPr>
    <w:rPr>
      <w:rFonts w:eastAsia="Arial Unicode MS"/>
      <w:b/>
      <w:bCs/>
      <w:kern w:val="18"/>
      <w:sz w:val="22"/>
      <w:szCs w:val="22"/>
    </w:rPr>
  </w:style>
  <w:style w:type="paragraph" w:styleId="Titre5">
    <w:name w:val="heading 5"/>
    <w:basedOn w:val="Normal"/>
    <w:next w:val="Normal"/>
    <w:link w:val="Titre5Car"/>
    <w:qFormat/>
    <w:rsid w:val="00AF40A5"/>
    <w:pPr>
      <w:keepNext/>
      <w:numPr>
        <w:ilvl w:val="4"/>
        <w:numId w:val="9"/>
      </w:numPr>
      <w:spacing w:before="120" w:after="60"/>
      <w:outlineLvl w:val="4"/>
    </w:pPr>
    <w:rPr>
      <w:rFonts w:eastAsia="Arial Unicode MS"/>
      <w:kern w:val="18"/>
      <w:sz w:val="20"/>
      <w:szCs w:val="20"/>
    </w:rPr>
  </w:style>
  <w:style w:type="paragraph" w:styleId="Titre6">
    <w:name w:val="heading 6"/>
    <w:basedOn w:val="Normal"/>
    <w:next w:val="Normal"/>
    <w:link w:val="Titre6Car"/>
    <w:qFormat/>
    <w:rsid w:val="00AF40A5"/>
    <w:pPr>
      <w:keepNext/>
      <w:numPr>
        <w:ilvl w:val="5"/>
        <w:numId w:val="9"/>
      </w:numPr>
      <w:spacing w:before="240" w:after="120"/>
      <w:outlineLvl w:val="5"/>
    </w:pPr>
    <w:rPr>
      <w:rFonts w:eastAsia="Arial Unicode MS"/>
      <w:b/>
      <w:bCs/>
      <w:sz w:val="21"/>
      <w:szCs w:val="21"/>
    </w:rPr>
  </w:style>
  <w:style w:type="paragraph" w:styleId="Titre7">
    <w:name w:val="heading 7"/>
    <w:basedOn w:val="Normal"/>
    <w:next w:val="Normal"/>
    <w:link w:val="Titre7Car"/>
    <w:qFormat/>
    <w:rsid w:val="00AF40A5"/>
    <w:pPr>
      <w:keepNext/>
      <w:numPr>
        <w:ilvl w:val="6"/>
        <w:numId w:val="9"/>
      </w:numPr>
      <w:spacing w:before="240" w:after="120"/>
      <w:outlineLvl w:val="6"/>
    </w:pPr>
    <w:rPr>
      <w:rFonts w:eastAsia="Arial Unicode MS"/>
      <w:b/>
      <w:bCs/>
      <w:sz w:val="21"/>
      <w:szCs w:val="21"/>
    </w:rPr>
  </w:style>
  <w:style w:type="paragraph" w:styleId="Titre8">
    <w:name w:val="heading 8"/>
    <w:basedOn w:val="Normal"/>
    <w:next w:val="Normal"/>
    <w:link w:val="Titre8Car"/>
    <w:qFormat/>
    <w:rsid w:val="00AF40A5"/>
    <w:pPr>
      <w:keepNext/>
      <w:numPr>
        <w:ilvl w:val="7"/>
        <w:numId w:val="9"/>
      </w:numPr>
      <w:spacing w:before="240" w:after="120"/>
      <w:outlineLvl w:val="7"/>
    </w:pPr>
    <w:rPr>
      <w:rFonts w:eastAsia="Arial Unicode MS"/>
      <w:b/>
      <w:bCs/>
      <w:sz w:val="21"/>
      <w:szCs w:val="21"/>
    </w:rPr>
  </w:style>
  <w:style w:type="paragraph" w:styleId="Titre9">
    <w:name w:val="heading 9"/>
    <w:basedOn w:val="Normal"/>
    <w:next w:val="Normal"/>
    <w:link w:val="Titre9Car"/>
    <w:qFormat/>
    <w:rsid w:val="00AF40A5"/>
    <w:pPr>
      <w:keepNext/>
      <w:numPr>
        <w:ilvl w:val="8"/>
        <w:numId w:val="9"/>
      </w:numPr>
      <w:spacing w:before="240" w:after="120"/>
      <w:outlineLvl w:val="8"/>
    </w:pPr>
    <w:rPr>
      <w:rFonts w:eastAsia="Arial Unicode MS"/>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F40A5"/>
    <w:rPr>
      <w:rFonts w:ascii="Arial" w:eastAsia="Arial Unicode MS" w:hAnsi="Arial"/>
      <w:b/>
      <w:bCs/>
      <w:snapToGrid w:val="0"/>
      <w:color w:val="50B848"/>
      <w:kern w:val="1"/>
      <w:sz w:val="32"/>
      <w:szCs w:val="32"/>
      <w:lang w:val="fr-FR" w:eastAsia="fr-FR"/>
    </w:rPr>
  </w:style>
  <w:style w:type="character" w:customStyle="1" w:styleId="Titre2Car">
    <w:name w:val="Titre 2 Car"/>
    <w:aliases w:val="Chapter Title Car"/>
    <w:basedOn w:val="Policepardfaut"/>
    <w:link w:val="Titre2"/>
    <w:rsid w:val="00AF40A5"/>
    <w:rPr>
      <w:rFonts w:ascii="Arial" w:eastAsia="Arial Unicode MS" w:hAnsi="Arial"/>
      <w:b/>
      <w:bCs/>
      <w:snapToGrid w:val="0"/>
      <w:color w:val="50B848"/>
      <w:kern w:val="28"/>
      <w:sz w:val="24"/>
      <w:szCs w:val="28"/>
      <w:lang w:val="fr-FR" w:eastAsia="fr-FR"/>
    </w:rPr>
  </w:style>
  <w:style w:type="character" w:customStyle="1" w:styleId="Titre3Car">
    <w:name w:val="Titre 3 Car"/>
    <w:basedOn w:val="Policepardfaut"/>
    <w:link w:val="Titre3"/>
    <w:rsid w:val="00AF40A5"/>
    <w:rPr>
      <w:rFonts w:ascii="Arial" w:eastAsia="Arial Unicode MS" w:hAnsi="Arial"/>
      <w:b/>
      <w:bCs/>
      <w:snapToGrid w:val="0"/>
      <w:color w:val="50B848"/>
      <w:kern w:val="18"/>
      <w:szCs w:val="24"/>
      <w:lang w:val="fr-FR" w:eastAsia="fr-FR"/>
    </w:rPr>
  </w:style>
  <w:style w:type="character" w:customStyle="1" w:styleId="Titre4Car">
    <w:name w:val="Titre 4 Car"/>
    <w:basedOn w:val="Policepardfaut"/>
    <w:link w:val="Titre4"/>
    <w:rsid w:val="00AF40A5"/>
    <w:rPr>
      <w:rFonts w:ascii="Arial" w:eastAsia="Arial Unicode MS" w:hAnsi="Arial"/>
      <w:b/>
      <w:bCs/>
      <w:snapToGrid w:val="0"/>
      <w:kern w:val="18"/>
      <w:sz w:val="22"/>
      <w:szCs w:val="22"/>
      <w:lang w:val="fr-FR" w:eastAsia="fr-FR"/>
    </w:rPr>
  </w:style>
  <w:style w:type="character" w:customStyle="1" w:styleId="Titre5Car">
    <w:name w:val="Titre 5 Car"/>
    <w:basedOn w:val="Policepardfaut"/>
    <w:link w:val="Titre5"/>
    <w:rsid w:val="00AF40A5"/>
    <w:rPr>
      <w:rFonts w:ascii="Arial" w:eastAsia="Arial Unicode MS" w:hAnsi="Arial"/>
      <w:snapToGrid w:val="0"/>
      <w:kern w:val="18"/>
      <w:lang w:val="fr-FR" w:eastAsia="fr-FR"/>
    </w:rPr>
  </w:style>
  <w:style w:type="character" w:customStyle="1" w:styleId="Titre6Car">
    <w:name w:val="Titre 6 Car"/>
    <w:basedOn w:val="Policepardfaut"/>
    <w:link w:val="Titre6"/>
    <w:rsid w:val="00AF40A5"/>
    <w:rPr>
      <w:rFonts w:ascii="Arial" w:eastAsia="Arial Unicode MS" w:hAnsi="Arial"/>
      <w:b/>
      <w:bCs/>
      <w:snapToGrid w:val="0"/>
      <w:kern w:val="1"/>
      <w:sz w:val="21"/>
      <w:szCs w:val="21"/>
      <w:lang w:val="fr-FR" w:eastAsia="fr-FR"/>
    </w:rPr>
  </w:style>
  <w:style w:type="character" w:customStyle="1" w:styleId="Titre7Car">
    <w:name w:val="Titre 7 Car"/>
    <w:basedOn w:val="Policepardfaut"/>
    <w:link w:val="Titre7"/>
    <w:rsid w:val="00AF40A5"/>
    <w:rPr>
      <w:rFonts w:ascii="Arial" w:eastAsia="Arial Unicode MS" w:hAnsi="Arial"/>
      <w:b/>
      <w:bCs/>
      <w:snapToGrid w:val="0"/>
      <w:kern w:val="1"/>
      <w:sz w:val="21"/>
      <w:szCs w:val="21"/>
      <w:lang w:val="fr-FR" w:eastAsia="fr-FR"/>
    </w:rPr>
  </w:style>
  <w:style w:type="character" w:customStyle="1" w:styleId="Titre8Car">
    <w:name w:val="Titre 8 Car"/>
    <w:basedOn w:val="Policepardfaut"/>
    <w:link w:val="Titre8"/>
    <w:rsid w:val="00AF40A5"/>
    <w:rPr>
      <w:rFonts w:ascii="Arial" w:eastAsia="Arial Unicode MS" w:hAnsi="Arial"/>
      <w:b/>
      <w:bCs/>
      <w:snapToGrid w:val="0"/>
      <w:kern w:val="1"/>
      <w:sz w:val="21"/>
      <w:szCs w:val="21"/>
      <w:lang w:val="fr-FR" w:eastAsia="fr-FR"/>
    </w:rPr>
  </w:style>
  <w:style w:type="character" w:customStyle="1" w:styleId="Titre9Car">
    <w:name w:val="Titre 9 Car"/>
    <w:basedOn w:val="Policepardfaut"/>
    <w:link w:val="Titre9"/>
    <w:rsid w:val="00AF40A5"/>
    <w:rPr>
      <w:rFonts w:ascii="Arial" w:eastAsia="Arial Unicode MS" w:hAnsi="Arial"/>
      <w:b/>
      <w:bCs/>
      <w:snapToGrid w:val="0"/>
      <w:kern w:val="1"/>
      <w:sz w:val="21"/>
      <w:szCs w:val="21"/>
      <w:lang w:val="fr-FR" w:eastAsia="fr-FR"/>
    </w:rPr>
  </w:style>
  <w:style w:type="paragraph" w:styleId="Lgende">
    <w:name w:val="caption"/>
    <w:basedOn w:val="Normal"/>
    <w:uiPriority w:val="99"/>
    <w:qFormat/>
    <w:rsid w:val="00AF40A5"/>
    <w:pPr>
      <w:suppressLineNumbers/>
      <w:spacing w:before="120" w:after="120"/>
    </w:pPr>
    <w:rPr>
      <w:i/>
      <w:iCs/>
    </w:rPr>
  </w:style>
  <w:style w:type="paragraph" w:styleId="Sansinterligne">
    <w:name w:val="No Spacing"/>
    <w:uiPriority w:val="1"/>
    <w:qFormat/>
    <w:rsid w:val="00AF40A5"/>
    <w:pPr>
      <w:widowControl w:val="0"/>
      <w:suppressAutoHyphens/>
    </w:pPr>
    <w:rPr>
      <w:rFonts w:ascii="Arial" w:hAnsi="Arial"/>
      <w:snapToGrid w:val="0"/>
      <w:kern w:val="1"/>
      <w:sz w:val="24"/>
      <w:szCs w:val="24"/>
      <w:lang w:val="fr-FR" w:eastAsia="fr-FR"/>
    </w:rPr>
  </w:style>
  <w:style w:type="paragraph" w:styleId="Paragraphedeliste">
    <w:name w:val="List Paragraph"/>
    <w:basedOn w:val="Normal"/>
    <w:uiPriority w:val="34"/>
    <w:qFormat/>
    <w:rsid w:val="00AF40A5"/>
    <w:pPr>
      <w:widowControl/>
      <w:suppressAutoHyphens w:val="0"/>
      <w:spacing w:after="200" w:line="276" w:lineRule="auto"/>
      <w:ind w:left="720"/>
      <w:contextualSpacing/>
    </w:pPr>
    <w:rPr>
      <w:rFonts w:ascii="Calibri" w:eastAsia="Calibri" w:hAnsi="Calibri"/>
      <w:snapToGrid w:val="0"/>
      <w:kern w:val="0"/>
      <w:sz w:val="22"/>
      <w:szCs w:val="22"/>
      <w:lang w:val="fr-BE" w:eastAsia="en-US"/>
    </w:rPr>
  </w:style>
  <w:style w:type="character" w:styleId="Lienhypertexte">
    <w:name w:val="Hyperlink"/>
    <w:uiPriority w:val="99"/>
    <w:semiHidden/>
    <w:unhideWhenUsed/>
    <w:rsid w:val="0055535A"/>
    <w:rPr>
      <w:color w:val="000080"/>
      <w:u w:val="single"/>
      <w:lang w:val="fr-FR" w:eastAsia="fr-FR"/>
    </w:rPr>
  </w:style>
  <w:style w:type="character" w:styleId="Lienhypertextesuivivisit">
    <w:name w:val="FollowedHyperlink"/>
    <w:semiHidden/>
    <w:unhideWhenUsed/>
    <w:rsid w:val="0055535A"/>
    <w:rPr>
      <w:color w:val="800080"/>
      <w:u w:val="single"/>
      <w:lang w:val="fr-FR" w:eastAsia="fr-FR"/>
    </w:rPr>
  </w:style>
  <w:style w:type="paragraph" w:styleId="NormalWeb">
    <w:name w:val="Normal (Web)"/>
    <w:basedOn w:val="Normal"/>
    <w:uiPriority w:val="99"/>
    <w:semiHidden/>
    <w:unhideWhenUsed/>
    <w:rsid w:val="0055535A"/>
    <w:pPr>
      <w:widowControl/>
      <w:suppressAutoHyphens w:val="0"/>
      <w:snapToGrid/>
      <w:spacing w:before="100" w:beforeAutospacing="1" w:after="100" w:afterAutospacing="1"/>
    </w:pPr>
    <w:rPr>
      <w:rFonts w:ascii="Times New Roman" w:hAnsi="Times New Roman"/>
    </w:rPr>
  </w:style>
  <w:style w:type="paragraph" w:styleId="TM1">
    <w:name w:val="toc 1"/>
    <w:basedOn w:val="Normal"/>
    <w:next w:val="Normal"/>
    <w:autoRedefine/>
    <w:uiPriority w:val="39"/>
    <w:semiHidden/>
    <w:unhideWhenUsed/>
    <w:rsid w:val="0055535A"/>
    <w:pPr>
      <w:tabs>
        <w:tab w:val="right" w:leader="dot" w:pos="7925"/>
      </w:tabs>
      <w:spacing w:before="120" w:after="120"/>
      <w:jc w:val="center"/>
    </w:pPr>
    <w:rPr>
      <w:rFonts w:ascii="Times New Roman" w:hAnsi="Times New Roman"/>
      <w:b/>
      <w:bCs/>
      <w:caps/>
    </w:rPr>
  </w:style>
  <w:style w:type="paragraph" w:styleId="TM2">
    <w:name w:val="toc 2"/>
    <w:basedOn w:val="Normal"/>
    <w:next w:val="Normal"/>
    <w:autoRedefine/>
    <w:uiPriority w:val="39"/>
    <w:semiHidden/>
    <w:unhideWhenUsed/>
    <w:rsid w:val="0055535A"/>
    <w:pPr>
      <w:tabs>
        <w:tab w:val="left" w:pos="960"/>
        <w:tab w:val="right" w:leader="dot" w:pos="7925"/>
      </w:tabs>
    </w:pPr>
    <w:rPr>
      <w:rFonts w:cs="Arial"/>
      <w:bCs/>
      <w:smallCaps/>
      <w:noProof/>
      <w:kern w:val="28"/>
      <w:sz w:val="20"/>
      <w:szCs w:val="20"/>
    </w:rPr>
  </w:style>
  <w:style w:type="paragraph" w:styleId="TM3">
    <w:name w:val="toc 3"/>
    <w:basedOn w:val="Normal"/>
    <w:next w:val="Normal"/>
    <w:autoRedefine/>
    <w:uiPriority w:val="39"/>
    <w:semiHidden/>
    <w:unhideWhenUsed/>
    <w:rsid w:val="0055535A"/>
    <w:pPr>
      <w:ind w:left="480"/>
    </w:pPr>
    <w:rPr>
      <w:rFonts w:ascii="Times New Roman" w:hAnsi="Times New Roman"/>
      <w:i/>
      <w:iCs/>
    </w:rPr>
  </w:style>
  <w:style w:type="paragraph" w:styleId="TM4">
    <w:name w:val="toc 4"/>
    <w:basedOn w:val="Normal"/>
    <w:next w:val="Normal"/>
    <w:autoRedefine/>
    <w:uiPriority w:val="39"/>
    <w:semiHidden/>
    <w:unhideWhenUsed/>
    <w:rsid w:val="0055535A"/>
    <w:pPr>
      <w:ind w:left="720"/>
    </w:pPr>
    <w:rPr>
      <w:rFonts w:ascii="Times New Roman" w:hAnsi="Times New Roman"/>
      <w:szCs w:val="21"/>
    </w:rPr>
  </w:style>
  <w:style w:type="paragraph" w:styleId="TM5">
    <w:name w:val="toc 5"/>
    <w:basedOn w:val="Normal"/>
    <w:next w:val="Normal"/>
    <w:autoRedefine/>
    <w:uiPriority w:val="39"/>
    <w:semiHidden/>
    <w:unhideWhenUsed/>
    <w:rsid w:val="0055535A"/>
    <w:pPr>
      <w:ind w:left="960"/>
    </w:pPr>
    <w:rPr>
      <w:rFonts w:ascii="Times New Roman" w:hAnsi="Times New Roman"/>
      <w:szCs w:val="21"/>
    </w:rPr>
  </w:style>
  <w:style w:type="character" w:customStyle="1" w:styleId="NotedebasdepageCar1">
    <w:name w:val="Note de bas de page Car1"/>
    <w:aliases w:val="CTB Bas de page Car1"/>
    <w:link w:val="Notedebasdepage"/>
    <w:semiHidden/>
    <w:locked/>
    <w:rsid w:val="0055535A"/>
    <w:rPr>
      <w:rFonts w:ascii="Arial" w:hAnsi="Arial" w:cs="Arial"/>
      <w:kern w:val="2"/>
      <w:sz w:val="14"/>
      <w:szCs w:val="14"/>
      <w:lang w:val="fr-FR" w:eastAsia="fr-FR"/>
    </w:rPr>
  </w:style>
  <w:style w:type="paragraph" w:styleId="Notedebasdepage">
    <w:name w:val="footnote text"/>
    <w:aliases w:val="CTB Bas de page"/>
    <w:basedOn w:val="Normal"/>
    <w:link w:val="NotedebasdepageCar1"/>
    <w:semiHidden/>
    <w:unhideWhenUsed/>
    <w:qFormat/>
    <w:rsid w:val="0055535A"/>
    <w:pPr>
      <w:suppressLineNumbers/>
      <w:ind w:left="283" w:hanging="283"/>
    </w:pPr>
    <w:rPr>
      <w:rFonts w:cs="Arial"/>
      <w:sz w:val="14"/>
      <w:szCs w:val="14"/>
    </w:rPr>
  </w:style>
  <w:style w:type="character" w:customStyle="1" w:styleId="NotedebasdepageCar">
    <w:name w:val="Note de bas de page Car"/>
    <w:aliases w:val="CTB Bas de page Car"/>
    <w:basedOn w:val="Policepardfaut"/>
    <w:uiPriority w:val="99"/>
    <w:semiHidden/>
    <w:rsid w:val="0055535A"/>
    <w:rPr>
      <w:rFonts w:ascii="Arial" w:hAnsi="Arial"/>
      <w:kern w:val="2"/>
      <w:lang w:val="fr-FR" w:eastAsia="fr-FR"/>
    </w:rPr>
  </w:style>
  <w:style w:type="paragraph" w:styleId="Commentaire">
    <w:name w:val="annotation text"/>
    <w:basedOn w:val="Normal"/>
    <w:link w:val="CommentaireCar"/>
    <w:uiPriority w:val="99"/>
    <w:semiHidden/>
    <w:unhideWhenUsed/>
    <w:rsid w:val="0055535A"/>
    <w:rPr>
      <w:sz w:val="20"/>
      <w:szCs w:val="20"/>
    </w:rPr>
  </w:style>
  <w:style w:type="character" w:customStyle="1" w:styleId="CommentaireCar">
    <w:name w:val="Commentaire Car"/>
    <w:basedOn w:val="Policepardfaut"/>
    <w:link w:val="Commentaire"/>
    <w:uiPriority w:val="99"/>
    <w:semiHidden/>
    <w:rsid w:val="0055535A"/>
    <w:rPr>
      <w:rFonts w:ascii="Arial" w:hAnsi="Arial"/>
      <w:kern w:val="2"/>
      <w:lang w:val="fr-FR" w:eastAsia="fr-FR"/>
    </w:rPr>
  </w:style>
  <w:style w:type="paragraph" w:styleId="En-tte">
    <w:name w:val="header"/>
    <w:basedOn w:val="Normal"/>
    <w:link w:val="En-tteCar"/>
    <w:uiPriority w:val="99"/>
    <w:unhideWhenUsed/>
    <w:rsid w:val="0055535A"/>
    <w:pPr>
      <w:suppressLineNumbers/>
      <w:tabs>
        <w:tab w:val="center" w:pos="4818"/>
        <w:tab w:val="right" w:pos="9637"/>
      </w:tabs>
    </w:pPr>
  </w:style>
  <w:style w:type="character" w:customStyle="1" w:styleId="En-tteCar">
    <w:name w:val="En-tête Car"/>
    <w:basedOn w:val="Policepardfaut"/>
    <w:link w:val="En-tte"/>
    <w:uiPriority w:val="99"/>
    <w:rsid w:val="0055535A"/>
    <w:rPr>
      <w:rFonts w:ascii="Arial" w:hAnsi="Arial"/>
      <w:kern w:val="2"/>
      <w:sz w:val="24"/>
      <w:szCs w:val="24"/>
      <w:lang w:val="fr-FR" w:eastAsia="fr-FR"/>
    </w:rPr>
  </w:style>
  <w:style w:type="paragraph" w:styleId="Pieddepage">
    <w:name w:val="footer"/>
    <w:basedOn w:val="Normal"/>
    <w:link w:val="PieddepageCar"/>
    <w:uiPriority w:val="99"/>
    <w:unhideWhenUsed/>
    <w:rsid w:val="0055535A"/>
    <w:pPr>
      <w:suppressLineNumbers/>
      <w:tabs>
        <w:tab w:val="center" w:pos="4818"/>
        <w:tab w:val="right" w:pos="9637"/>
      </w:tabs>
    </w:pPr>
    <w:rPr>
      <w:sz w:val="14"/>
      <w:szCs w:val="14"/>
    </w:rPr>
  </w:style>
  <w:style w:type="character" w:customStyle="1" w:styleId="PieddepageCar">
    <w:name w:val="Pied de page Car"/>
    <w:basedOn w:val="Policepardfaut"/>
    <w:link w:val="Pieddepage"/>
    <w:uiPriority w:val="99"/>
    <w:rsid w:val="0055535A"/>
    <w:rPr>
      <w:rFonts w:ascii="Arial" w:hAnsi="Arial"/>
      <w:kern w:val="2"/>
      <w:sz w:val="14"/>
      <w:szCs w:val="14"/>
      <w:lang w:val="fr-FR" w:eastAsia="fr-FR"/>
    </w:rPr>
  </w:style>
  <w:style w:type="paragraph" w:styleId="Liste">
    <w:name w:val="List"/>
    <w:basedOn w:val="Normal"/>
    <w:uiPriority w:val="99"/>
    <w:semiHidden/>
    <w:unhideWhenUsed/>
    <w:rsid w:val="0055535A"/>
    <w:pPr>
      <w:numPr>
        <w:ilvl w:val="8"/>
        <w:numId w:val="10"/>
      </w:numPr>
      <w:spacing w:after="120" w:line="288" w:lineRule="auto"/>
      <w:jc w:val="both"/>
    </w:pPr>
    <w:rPr>
      <w:kern w:val="18"/>
      <w:sz w:val="20"/>
      <w:szCs w:val="20"/>
    </w:rPr>
  </w:style>
  <w:style w:type="paragraph" w:styleId="Listepuces">
    <w:name w:val="List Bullet"/>
    <w:basedOn w:val="Normal"/>
    <w:uiPriority w:val="99"/>
    <w:semiHidden/>
    <w:unhideWhenUsed/>
    <w:rsid w:val="0055535A"/>
    <w:pPr>
      <w:numPr>
        <w:numId w:val="11"/>
      </w:numPr>
      <w:contextualSpacing/>
    </w:pPr>
  </w:style>
  <w:style w:type="paragraph" w:styleId="Corpsdetexte">
    <w:name w:val="Body Text"/>
    <w:basedOn w:val="Normal"/>
    <w:link w:val="CorpsdetexteCar"/>
    <w:uiPriority w:val="99"/>
    <w:semiHidden/>
    <w:unhideWhenUsed/>
    <w:rsid w:val="0055535A"/>
    <w:pPr>
      <w:spacing w:after="120" w:line="288" w:lineRule="auto"/>
      <w:jc w:val="both"/>
    </w:pPr>
    <w:rPr>
      <w:rFonts w:eastAsia="Arial Unicode MS"/>
      <w:kern w:val="18"/>
      <w:sz w:val="20"/>
      <w:szCs w:val="20"/>
    </w:rPr>
  </w:style>
  <w:style w:type="character" w:customStyle="1" w:styleId="CorpsdetexteCar">
    <w:name w:val="Corps de texte Car"/>
    <w:basedOn w:val="Policepardfaut"/>
    <w:link w:val="Corpsdetexte"/>
    <w:uiPriority w:val="99"/>
    <w:semiHidden/>
    <w:rsid w:val="0055535A"/>
    <w:rPr>
      <w:rFonts w:ascii="Arial" w:eastAsia="Arial Unicode MS" w:hAnsi="Arial"/>
      <w:kern w:val="18"/>
      <w:lang w:val="fr-FR" w:eastAsia="fr-FR"/>
    </w:rPr>
  </w:style>
  <w:style w:type="paragraph" w:styleId="Corpsdetexte2">
    <w:name w:val="Body Text 2"/>
    <w:basedOn w:val="Normal"/>
    <w:link w:val="Corpsdetexte2Car"/>
    <w:uiPriority w:val="99"/>
    <w:semiHidden/>
    <w:unhideWhenUsed/>
    <w:rsid w:val="0055535A"/>
    <w:rPr>
      <w:rFonts w:cs="Arial"/>
      <w:i/>
      <w:iCs/>
      <w:noProof/>
      <w:sz w:val="20"/>
      <w:szCs w:val="20"/>
    </w:rPr>
  </w:style>
  <w:style w:type="character" w:customStyle="1" w:styleId="Corpsdetexte2Car">
    <w:name w:val="Corps de texte 2 Car"/>
    <w:basedOn w:val="Policepardfaut"/>
    <w:link w:val="Corpsdetexte2"/>
    <w:uiPriority w:val="99"/>
    <w:semiHidden/>
    <w:rsid w:val="0055535A"/>
    <w:rPr>
      <w:rFonts w:ascii="Arial" w:hAnsi="Arial" w:cs="Arial"/>
      <w:i/>
      <w:iCs/>
      <w:noProof/>
      <w:kern w:val="2"/>
      <w:lang w:val="fr-FR" w:eastAsia="fr-FR"/>
    </w:rPr>
  </w:style>
  <w:style w:type="paragraph" w:styleId="Normalcentr">
    <w:name w:val="Block Text"/>
    <w:basedOn w:val="Normal"/>
    <w:uiPriority w:val="99"/>
    <w:semiHidden/>
    <w:unhideWhenUsed/>
    <w:rsid w:val="0055535A"/>
    <w:pPr>
      <w:widowControl/>
      <w:suppressAutoHyphens w:val="0"/>
      <w:snapToGrid/>
    </w:pPr>
    <w:rPr>
      <w:rFonts w:ascii="Times New Roman" w:hAnsi="Times New Roman"/>
    </w:rPr>
  </w:style>
  <w:style w:type="paragraph" w:styleId="Explorateurdedocuments">
    <w:name w:val="Document Map"/>
    <w:basedOn w:val="Normal"/>
    <w:link w:val="ExplorateurdedocumentsCar"/>
    <w:uiPriority w:val="99"/>
    <w:semiHidden/>
    <w:unhideWhenUsed/>
    <w:rsid w:val="0055535A"/>
    <w:pPr>
      <w:shd w:val="clear" w:color="auto" w:fill="000080"/>
    </w:pPr>
    <w:rPr>
      <w:rFonts w:ascii="Times New Roman" w:hAnsi="Times New Roman"/>
    </w:rPr>
  </w:style>
  <w:style w:type="character" w:customStyle="1" w:styleId="ExplorateurdedocumentsCar">
    <w:name w:val="Explorateur de documents Car"/>
    <w:basedOn w:val="Policepardfaut"/>
    <w:link w:val="Explorateurdedocuments"/>
    <w:uiPriority w:val="99"/>
    <w:semiHidden/>
    <w:rsid w:val="0055535A"/>
    <w:rPr>
      <w:kern w:val="2"/>
      <w:sz w:val="24"/>
      <w:szCs w:val="24"/>
      <w:shd w:val="clear" w:color="auto" w:fill="000080"/>
      <w:lang w:val="fr-FR" w:eastAsia="fr-FR"/>
    </w:rPr>
  </w:style>
  <w:style w:type="paragraph" w:styleId="Objetducommentaire">
    <w:name w:val="annotation subject"/>
    <w:basedOn w:val="Commentaire"/>
    <w:next w:val="Commentaire"/>
    <w:link w:val="ObjetducommentaireCar"/>
    <w:uiPriority w:val="99"/>
    <w:semiHidden/>
    <w:unhideWhenUsed/>
    <w:rsid w:val="0055535A"/>
    <w:rPr>
      <w:b/>
      <w:bCs/>
    </w:rPr>
  </w:style>
  <w:style w:type="character" w:customStyle="1" w:styleId="ObjetducommentaireCar">
    <w:name w:val="Objet du commentaire Car"/>
    <w:basedOn w:val="CommentaireCar"/>
    <w:link w:val="Objetducommentaire"/>
    <w:uiPriority w:val="99"/>
    <w:semiHidden/>
    <w:rsid w:val="0055535A"/>
    <w:rPr>
      <w:rFonts w:ascii="Arial" w:hAnsi="Arial"/>
      <w:b/>
      <w:bCs/>
      <w:kern w:val="2"/>
      <w:lang w:val="fr-FR" w:eastAsia="fr-FR"/>
    </w:rPr>
  </w:style>
  <w:style w:type="paragraph" w:styleId="Textedebulles">
    <w:name w:val="Balloon Text"/>
    <w:basedOn w:val="Normal"/>
    <w:link w:val="TextedebullesCar"/>
    <w:uiPriority w:val="99"/>
    <w:semiHidden/>
    <w:unhideWhenUsed/>
    <w:rsid w:val="0055535A"/>
    <w:rPr>
      <w:rFonts w:ascii="Tahoma" w:hAnsi="Tahoma" w:cs="Tahoma"/>
      <w:sz w:val="16"/>
      <w:szCs w:val="16"/>
    </w:rPr>
  </w:style>
  <w:style w:type="character" w:customStyle="1" w:styleId="TextedebullesCar">
    <w:name w:val="Texte de bulles Car"/>
    <w:basedOn w:val="Policepardfaut"/>
    <w:link w:val="Textedebulles"/>
    <w:uiPriority w:val="99"/>
    <w:semiHidden/>
    <w:rsid w:val="0055535A"/>
    <w:rPr>
      <w:rFonts w:ascii="Tahoma" w:hAnsi="Tahoma" w:cs="Tahoma"/>
      <w:kern w:val="2"/>
      <w:sz w:val="16"/>
      <w:szCs w:val="16"/>
      <w:lang w:val="fr-FR" w:eastAsia="fr-FR"/>
    </w:rPr>
  </w:style>
  <w:style w:type="paragraph" w:styleId="Rvision">
    <w:name w:val="Revision"/>
    <w:uiPriority w:val="99"/>
    <w:semiHidden/>
    <w:rsid w:val="0055535A"/>
    <w:pPr>
      <w:snapToGrid w:val="0"/>
    </w:pPr>
    <w:rPr>
      <w:rFonts w:ascii="Arial" w:hAnsi="Arial"/>
      <w:kern w:val="2"/>
      <w:sz w:val="24"/>
      <w:szCs w:val="24"/>
      <w:lang w:val="fr-FR" w:eastAsia="fr-FR"/>
    </w:rPr>
  </w:style>
  <w:style w:type="paragraph" w:customStyle="1" w:styleId="Heading">
    <w:name w:val="Heading"/>
    <w:basedOn w:val="Normal"/>
    <w:next w:val="Normal"/>
    <w:uiPriority w:val="99"/>
    <w:rsid w:val="0055535A"/>
    <w:pPr>
      <w:keepNext/>
      <w:spacing w:before="240" w:after="120"/>
    </w:pPr>
    <w:rPr>
      <w:rFonts w:eastAsia="Arial Unicode MS"/>
      <w:sz w:val="28"/>
      <w:szCs w:val="28"/>
    </w:rPr>
  </w:style>
  <w:style w:type="paragraph" w:customStyle="1" w:styleId="Index">
    <w:name w:val="Index"/>
    <w:basedOn w:val="Normal"/>
    <w:uiPriority w:val="99"/>
    <w:rsid w:val="0055535A"/>
    <w:pPr>
      <w:suppressLineNumbers/>
    </w:pPr>
  </w:style>
  <w:style w:type="paragraph" w:customStyle="1" w:styleId="CTBSoustitre">
    <w:name w:val="CTB_Sous titre"/>
    <w:basedOn w:val="Normal"/>
    <w:next w:val="Normal"/>
    <w:uiPriority w:val="99"/>
    <w:rsid w:val="0055535A"/>
    <w:pPr>
      <w:ind w:left="1503"/>
    </w:pPr>
    <w:rPr>
      <w:b/>
      <w:bCs/>
      <w:caps/>
      <w:color w:val="50B848"/>
      <w:sz w:val="44"/>
      <w:szCs w:val="44"/>
    </w:rPr>
  </w:style>
  <w:style w:type="paragraph" w:customStyle="1" w:styleId="CTBGrandtitre">
    <w:name w:val="CTB_Grand titre"/>
    <w:basedOn w:val="Normal"/>
    <w:next w:val="CTBSoustitre"/>
    <w:uiPriority w:val="99"/>
    <w:rsid w:val="0055535A"/>
    <w:pPr>
      <w:spacing w:before="3402"/>
      <w:ind w:left="1503"/>
    </w:pPr>
    <w:rPr>
      <w:b/>
      <w:bCs/>
      <w:caps/>
      <w:color w:val="50B848"/>
      <w:sz w:val="60"/>
      <w:szCs w:val="60"/>
    </w:rPr>
  </w:style>
  <w:style w:type="paragraph" w:customStyle="1" w:styleId="Framecontents">
    <w:name w:val="Frame contents"/>
    <w:basedOn w:val="Normal"/>
    <w:uiPriority w:val="99"/>
    <w:rsid w:val="0055535A"/>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uiPriority w:val="99"/>
    <w:rsid w:val="0055535A"/>
    <w:pPr>
      <w:suppressLineNumbers/>
    </w:pPr>
    <w:rPr>
      <w:b/>
      <w:bCs/>
      <w:color w:val="50B848"/>
      <w:sz w:val="32"/>
      <w:szCs w:val="32"/>
    </w:rPr>
  </w:style>
  <w:style w:type="paragraph" w:customStyle="1" w:styleId="Contents10">
    <w:name w:val="Contents 10"/>
    <w:basedOn w:val="Index"/>
    <w:uiPriority w:val="99"/>
    <w:rsid w:val="0055535A"/>
    <w:pPr>
      <w:tabs>
        <w:tab w:val="right" w:leader="dot" w:pos="9637"/>
      </w:tabs>
      <w:ind w:left="2547"/>
    </w:pPr>
    <w:rPr>
      <w:sz w:val="18"/>
      <w:szCs w:val="18"/>
    </w:rPr>
  </w:style>
  <w:style w:type="paragraph" w:customStyle="1" w:styleId="PreformattedText">
    <w:name w:val="Preformatted Text"/>
    <w:basedOn w:val="Normal"/>
    <w:uiPriority w:val="99"/>
    <w:rsid w:val="0055535A"/>
    <w:rPr>
      <w:rFonts w:ascii="Times New Roman" w:hAnsi="Times New Roman"/>
      <w:sz w:val="20"/>
      <w:szCs w:val="20"/>
    </w:rPr>
  </w:style>
  <w:style w:type="paragraph" w:customStyle="1" w:styleId="Heading10">
    <w:name w:val="Heading 10"/>
    <w:basedOn w:val="Heading"/>
    <w:next w:val="Normal"/>
    <w:uiPriority w:val="99"/>
    <w:rsid w:val="0055535A"/>
    <w:pPr>
      <w:tabs>
        <w:tab w:val="num" w:pos="1584"/>
      </w:tabs>
      <w:ind w:left="1584" w:hanging="1584"/>
      <w:outlineLvl w:val="8"/>
    </w:pPr>
    <w:rPr>
      <w:b/>
      <w:bCs/>
      <w:sz w:val="21"/>
      <w:szCs w:val="21"/>
    </w:rPr>
  </w:style>
  <w:style w:type="paragraph" w:customStyle="1" w:styleId="Sansnom1">
    <w:name w:val="Sans nom1"/>
    <w:basedOn w:val="Normal"/>
    <w:uiPriority w:val="99"/>
    <w:rsid w:val="0055535A"/>
    <w:pPr>
      <w:widowControl/>
      <w:tabs>
        <w:tab w:val="left" w:pos="1985"/>
        <w:tab w:val="right" w:leader="dot" w:pos="9060"/>
      </w:tabs>
      <w:suppressAutoHyphens w:val="0"/>
      <w:spacing w:before="60" w:after="100" w:afterAutospacing="1"/>
      <w:ind w:left="850"/>
    </w:pPr>
    <w:rPr>
      <w:rFonts w:cs="Arial"/>
      <w:noProof/>
      <w:sz w:val="20"/>
      <w:szCs w:val="20"/>
    </w:rPr>
  </w:style>
  <w:style w:type="paragraph" w:customStyle="1" w:styleId="Illustration">
    <w:name w:val="Illustration"/>
    <w:basedOn w:val="Lgende"/>
    <w:uiPriority w:val="99"/>
    <w:rsid w:val="0055535A"/>
  </w:style>
  <w:style w:type="paragraph" w:customStyle="1" w:styleId="Text">
    <w:name w:val="Text"/>
    <w:basedOn w:val="Lgende"/>
    <w:uiPriority w:val="99"/>
    <w:rsid w:val="0055535A"/>
  </w:style>
  <w:style w:type="paragraph" w:customStyle="1" w:styleId="TableContents">
    <w:name w:val="Table Contents"/>
    <w:basedOn w:val="Normal"/>
    <w:uiPriority w:val="99"/>
    <w:rsid w:val="0055535A"/>
    <w:pPr>
      <w:suppressLineNumbers/>
    </w:pPr>
  </w:style>
  <w:style w:type="paragraph" w:customStyle="1" w:styleId="BTCBullets">
    <w:name w:val="BTC Bullets"/>
    <w:basedOn w:val="Normal"/>
    <w:uiPriority w:val="99"/>
    <w:rsid w:val="0055535A"/>
    <w:pPr>
      <w:numPr>
        <w:numId w:val="12"/>
      </w:numPr>
      <w:spacing w:after="60" w:line="288" w:lineRule="auto"/>
      <w:jc w:val="both"/>
    </w:pPr>
    <w:rPr>
      <w:kern w:val="18"/>
      <w:sz w:val="20"/>
      <w:szCs w:val="20"/>
    </w:rPr>
  </w:style>
  <w:style w:type="paragraph" w:customStyle="1" w:styleId="BTCbulletsCTB">
    <w:name w:val="BTC bullets CTB"/>
    <w:basedOn w:val="Normal"/>
    <w:autoRedefine/>
    <w:uiPriority w:val="99"/>
    <w:rsid w:val="0055535A"/>
    <w:pPr>
      <w:widowControl/>
      <w:numPr>
        <w:numId w:val="13"/>
      </w:numPr>
      <w:tabs>
        <w:tab w:val="num" w:pos="540"/>
      </w:tabs>
      <w:suppressAutoHyphens w:val="0"/>
      <w:snapToGrid/>
      <w:ind w:left="900" w:hanging="540"/>
    </w:pPr>
    <w:rPr>
      <w:rFonts w:ascii="Times New Roman" w:hAnsi="Times New Roman"/>
      <w:sz w:val="22"/>
      <w:szCs w:val="22"/>
    </w:rPr>
  </w:style>
  <w:style w:type="paragraph" w:customStyle="1" w:styleId="BTCnumberlist">
    <w:name w:val="BTC number list"/>
    <w:autoRedefine/>
    <w:uiPriority w:val="99"/>
    <w:rsid w:val="0055535A"/>
    <w:pPr>
      <w:numPr>
        <w:numId w:val="14"/>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uiPriority w:val="99"/>
    <w:rsid w:val="0055535A"/>
    <w:pPr>
      <w:keepNext w:val="0"/>
      <w:widowControl/>
      <w:numPr>
        <w:ilvl w:val="0"/>
        <w:numId w:val="0"/>
      </w:numPr>
      <w:suppressAutoHyphens w:val="0"/>
      <w:spacing w:before="240" w:after="60"/>
    </w:pPr>
    <w:rPr>
      <w:rFonts w:ascii="Verdana" w:eastAsia="Times New Roman" w:hAnsi="Verdana"/>
      <w:b w:val="0"/>
      <w:bCs w:val="0"/>
      <w:color w:val="000000"/>
      <w:spacing w:val="20"/>
      <w:sz w:val="28"/>
    </w:rPr>
  </w:style>
  <w:style w:type="paragraph" w:customStyle="1" w:styleId="BulletText1">
    <w:name w:val="Bullet Text 1"/>
    <w:basedOn w:val="Normal"/>
    <w:uiPriority w:val="99"/>
    <w:rsid w:val="0055535A"/>
    <w:pPr>
      <w:widowControl/>
      <w:numPr>
        <w:numId w:val="15"/>
      </w:numPr>
      <w:suppressAutoHyphens w:val="0"/>
      <w:snapToGrid/>
    </w:pPr>
    <w:rPr>
      <w:rFonts w:ascii="Times New Roman" w:hAnsi="Times New Roman"/>
    </w:rPr>
  </w:style>
  <w:style w:type="paragraph" w:customStyle="1" w:styleId="Ballontekst1">
    <w:name w:val="Ballontekst1"/>
    <w:basedOn w:val="Normal"/>
    <w:uiPriority w:val="99"/>
    <w:rsid w:val="0055535A"/>
    <w:rPr>
      <w:rFonts w:ascii="Tahoma" w:hAnsi="Tahoma" w:cs="Tahoma"/>
      <w:sz w:val="16"/>
      <w:szCs w:val="16"/>
    </w:rPr>
  </w:style>
  <w:style w:type="paragraph" w:customStyle="1" w:styleId="MapTitleContinued">
    <w:name w:val="Map Title. Continued"/>
    <w:basedOn w:val="Normal"/>
    <w:next w:val="Normal"/>
    <w:uiPriority w:val="99"/>
    <w:rsid w:val="0055535A"/>
    <w:pPr>
      <w:widowControl/>
      <w:suppressAutoHyphens w:val="0"/>
      <w:snapToGrid/>
      <w:spacing w:after="240"/>
    </w:pPr>
    <w:rPr>
      <w:rFonts w:cs="Arial"/>
      <w:b/>
      <w:bCs/>
      <w:color w:val="000000"/>
      <w:sz w:val="32"/>
      <w:szCs w:val="32"/>
    </w:rPr>
  </w:style>
  <w:style w:type="paragraph" w:customStyle="1" w:styleId="CTBCorpsdetexte">
    <w:name w:val="CTB Corps de texte"/>
    <w:basedOn w:val="Normal"/>
    <w:uiPriority w:val="99"/>
    <w:rsid w:val="0055535A"/>
    <w:pPr>
      <w:snapToGrid/>
      <w:spacing w:after="120"/>
      <w:jc w:val="both"/>
    </w:pPr>
    <w:rPr>
      <w:kern w:val="18"/>
      <w:sz w:val="20"/>
      <w:szCs w:val="20"/>
    </w:rPr>
  </w:style>
  <w:style w:type="paragraph" w:customStyle="1" w:styleId="Default">
    <w:name w:val="Default"/>
    <w:uiPriority w:val="99"/>
    <w:rsid w:val="0055535A"/>
    <w:pPr>
      <w:autoSpaceDE w:val="0"/>
      <w:autoSpaceDN w:val="0"/>
      <w:adjustRightInd w:val="0"/>
    </w:pPr>
    <w:rPr>
      <w:rFonts w:ascii="Arial" w:hAnsi="Arial" w:cs="Arial"/>
      <w:color w:val="000000"/>
      <w:sz w:val="24"/>
      <w:szCs w:val="24"/>
    </w:rPr>
  </w:style>
  <w:style w:type="character" w:styleId="Appelnotedebasdep">
    <w:name w:val="footnote reference"/>
    <w:semiHidden/>
    <w:unhideWhenUsed/>
    <w:rsid w:val="0055535A"/>
    <w:rPr>
      <w:i/>
      <w:iCs/>
      <w:sz w:val="20"/>
      <w:vertAlign w:val="superscript"/>
      <w:lang w:val="fr-FR" w:eastAsia="fr-FR"/>
    </w:rPr>
  </w:style>
  <w:style w:type="character" w:styleId="Marquedecommentaire">
    <w:name w:val="annotation reference"/>
    <w:uiPriority w:val="99"/>
    <w:semiHidden/>
    <w:unhideWhenUsed/>
    <w:rsid w:val="0055535A"/>
    <w:rPr>
      <w:sz w:val="16"/>
      <w:szCs w:val="16"/>
      <w:lang w:val="fr-FR" w:eastAsia="fr-FR"/>
    </w:rPr>
  </w:style>
  <w:style w:type="character" w:styleId="Appeldenotedefin">
    <w:name w:val="endnote reference"/>
    <w:semiHidden/>
    <w:unhideWhenUsed/>
    <w:rsid w:val="0055535A"/>
    <w:rPr>
      <w:vertAlign w:val="superscript"/>
      <w:lang w:val="fr-FR" w:eastAsia="fr-FR"/>
    </w:rPr>
  </w:style>
  <w:style w:type="character" w:customStyle="1" w:styleId="NumberingSymbols">
    <w:name w:val="Numbering Symbols"/>
    <w:rsid w:val="0055535A"/>
  </w:style>
  <w:style w:type="character" w:customStyle="1" w:styleId="Bullets">
    <w:name w:val="Bullets"/>
    <w:rsid w:val="0055535A"/>
    <w:rPr>
      <w:rFonts w:ascii="OpenSymbol" w:eastAsia="Times New Roman" w:hAnsi="OpenSymbol" w:hint="default"/>
      <w:lang w:val="fr-FR" w:eastAsia="fr-FR"/>
    </w:rPr>
  </w:style>
  <w:style w:type="character" w:customStyle="1" w:styleId="Placeholder">
    <w:name w:val="Placeholder"/>
    <w:rsid w:val="0055535A"/>
    <w:rPr>
      <w:smallCaps/>
      <w:color w:val="008080"/>
      <w:u w:val="dotted"/>
      <w:lang w:val="fr-FR" w:eastAsia="fr-FR"/>
    </w:rPr>
  </w:style>
  <w:style w:type="character" w:customStyle="1" w:styleId="FootnoteCharacters">
    <w:name w:val="Footnote Characters"/>
    <w:rsid w:val="0055535A"/>
  </w:style>
  <w:style w:type="character" w:customStyle="1" w:styleId="EndnoteCharacters">
    <w:name w:val="Endnote Characters"/>
    <w:rsid w:val="0055535A"/>
  </w:style>
  <w:style w:type="character" w:customStyle="1" w:styleId="tw4winMark">
    <w:name w:val="tw4winMark"/>
    <w:rsid w:val="0055535A"/>
    <w:rPr>
      <w:rFonts w:ascii="Courier New" w:hAnsi="Courier New" w:cs="Courier New" w:hint="default"/>
      <w:vanish/>
      <w:webHidden w:val="0"/>
      <w:color w:val="800080"/>
      <w:sz w:val="24"/>
      <w:szCs w:val="24"/>
      <w:vertAlign w:val="subscript"/>
      <w:lang w:val="fr-FR" w:eastAsia="fr-FR"/>
      <w:specVanish w:val="0"/>
    </w:rPr>
  </w:style>
  <w:style w:type="character" w:customStyle="1" w:styleId="tw4winError">
    <w:name w:val="tw4winError"/>
    <w:rsid w:val="0055535A"/>
    <w:rPr>
      <w:rFonts w:ascii="Courier New" w:hAnsi="Courier New" w:cs="Courier New" w:hint="default"/>
      <w:color w:val="00FF00"/>
      <w:sz w:val="40"/>
      <w:szCs w:val="40"/>
      <w:lang w:val="fr-FR" w:eastAsia="fr-FR"/>
    </w:rPr>
  </w:style>
  <w:style w:type="character" w:customStyle="1" w:styleId="tw4winTerm">
    <w:name w:val="tw4winTerm"/>
    <w:rsid w:val="0055535A"/>
    <w:rPr>
      <w:color w:val="0000FF"/>
      <w:lang w:val="fr-FR" w:eastAsia="fr-FR"/>
    </w:rPr>
  </w:style>
  <w:style w:type="character" w:customStyle="1" w:styleId="tw4winPopup">
    <w:name w:val="tw4winPopup"/>
    <w:rsid w:val="0055535A"/>
    <w:rPr>
      <w:rFonts w:ascii="Courier New" w:hAnsi="Courier New" w:cs="Courier New" w:hint="default"/>
      <w:noProof/>
      <w:color w:val="008000"/>
      <w:lang w:val="fr-FR" w:eastAsia="fr-FR"/>
    </w:rPr>
  </w:style>
  <w:style w:type="character" w:customStyle="1" w:styleId="tw4winJump">
    <w:name w:val="tw4winJump"/>
    <w:rsid w:val="0055535A"/>
    <w:rPr>
      <w:rFonts w:ascii="Courier New" w:hAnsi="Courier New" w:cs="Courier New" w:hint="default"/>
      <w:noProof/>
      <w:color w:val="008080"/>
      <w:lang w:val="fr-FR" w:eastAsia="fr-FR"/>
    </w:rPr>
  </w:style>
  <w:style w:type="character" w:customStyle="1" w:styleId="tw4winExternal">
    <w:name w:val="tw4winExternal"/>
    <w:rsid w:val="0055535A"/>
    <w:rPr>
      <w:rFonts w:ascii="Courier New" w:hAnsi="Courier New" w:cs="Courier New" w:hint="default"/>
      <w:noProof/>
      <w:color w:val="808080"/>
      <w:lang w:val="fr-FR" w:eastAsia="fr-FR"/>
    </w:rPr>
  </w:style>
  <w:style w:type="character" w:customStyle="1" w:styleId="tw4winInternal">
    <w:name w:val="tw4winInternal"/>
    <w:rsid w:val="0055535A"/>
    <w:rPr>
      <w:rFonts w:ascii="Courier New" w:hAnsi="Courier New" w:cs="Courier New" w:hint="default"/>
      <w:noProof/>
      <w:color w:val="FF0000"/>
      <w:lang w:val="fr-FR" w:eastAsia="fr-FR"/>
    </w:rPr>
  </w:style>
  <w:style w:type="character" w:customStyle="1" w:styleId="DONOTTRANSLATE">
    <w:name w:val="DO_NOT_TRANSLATE"/>
    <w:rsid w:val="0055535A"/>
    <w:rPr>
      <w:rFonts w:ascii="Courier New" w:hAnsi="Courier New" w:cs="Courier New" w:hint="default"/>
      <w:noProof/>
      <w:color w:val="800000"/>
      <w:lang w:val="fr-FR" w:eastAsia="fr-FR"/>
    </w:rPr>
  </w:style>
  <w:style w:type="character" w:customStyle="1" w:styleId="BallontekstChar">
    <w:name w:val="Ballontekst Char"/>
    <w:semiHidden/>
    <w:rsid w:val="0055535A"/>
    <w:rPr>
      <w:rFonts w:ascii="Tahoma" w:hAnsi="Tahoma" w:cs="Tahoma" w:hint="default"/>
      <w:snapToGrid/>
      <w:kern w:val="2"/>
      <w:sz w:val="16"/>
      <w:szCs w:val="16"/>
      <w:lang w:val="fr-FR" w:eastAsia="fr-FR"/>
    </w:rPr>
  </w:style>
  <w:style w:type="table" w:styleId="Grilledutableau">
    <w:name w:val="Table Grid"/>
    <w:basedOn w:val="TableauNormal"/>
    <w:uiPriority w:val="59"/>
    <w:rsid w:val="0055535A"/>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9">
    <w:name w:val="toc 9"/>
    <w:basedOn w:val="Index"/>
    <w:autoRedefine/>
    <w:uiPriority w:val="39"/>
    <w:semiHidden/>
    <w:unhideWhenUsed/>
    <w:rsid w:val="0055535A"/>
    <w:pPr>
      <w:suppressLineNumbers w:val="0"/>
      <w:ind w:left="1920"/>
    </w:pPr>
    <w:rPr>
      <w:rFonts w:ascii="Times New Roman" w:hAnsi="Times New Roman"/>
      <w:szCs w:val="21"/>
    </w:rPr>
  </w:style>
  <w:style w:type="paragraph" w:styleId="TM8">
    <w:name w:val="toc 8"/>
    <w:basedOn w:val="Index"/>
    <w:autoRedefine/>
    <w:uiPriority w:val="39"/>
    <w:semiHidden/>
    <w:unhideWhenUsed/>
    <w:rsid w:val="0055535A"/>
    <w:pPr>
      <w:suppressLineNumbers w:val="0"/>
      <w:ind w:left="1680"/>
    </w:pPr>
    <w:rPr>
      <w:rFonts w:ascii="Times New Roman" w:hAnsi="Times New Roman"/>
      <w:szCs w:val="21"/>
    </w:rPr>
  </w:style>
  <w:style w:type="paragraph" w:styleId="TM7">
    <w:name w:val="toc 7"/>
    <w:basedOn w:val="Index"/>
    <w:autoRedefine/>
    <w:uiPriority w:val="39"/>
    <w:semiHidden/>
    <w:unhideWhenUsed/>
    <w:rsid w:val="0055535A"/>
    <w:pPr>
      <w:suppressLineNumbers w:val="0"/>
      <w:ind w:left="1440"/>
    </w:pPr>
    <w:rPr>
      <w:rFonts w:ascii="Times New Roman" w:hAnsi="Times New Roman"/>
      <w:szCs w:val="21"/>
    </w:rPr>
  </w:style>
  <w:style w:type="paragraph" w:styleId="TM6">
    <w:name w:val="toc 6"/>
    <w:basedOn w:val="Index"/>
    <w:autoRedefine/>
    <w:uiPriority w:val="39"/>
    <w:semiHidden/>
    <w:unhideWhenUsed/>
    <w:rsid w:val="0055535A"/>
    <w:pPr>
      <w:suppressLineNumbers w:val="0"/>
      <w:ind w:left="1200"/>
    </w:pPr>
    <w:rPr>
      <w:rFonts w:ascii="Times New Roman" w:hAnsi="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35A"/>
    <w:pPr>
      <w:widowControl w:val="0"/>
      <w:suppressAutoHyphens/>
      <w:snapToGrid w:val="0"/>
    </w:pPr>
    <w:rPr>
      <w:rFonts w:ascii="Arial" w:hAnsi="Arial"/>
      <w:kern w:val="2"/>
      <w:sz w:val="24"/>
      <w:szCs w:val="24"/>
      <w:lang w:val="fr-FR" w:eastAsia="fr-FR"/>
    </w:rPr>
  </w:style>
  <w:style w:type="paragraph" w:styleId="Titre1">
    <w:name w:val="heading 1"/>
    <w:basedOn w:val="Normal"/>
    <w:next w:val="Normal"/>
    <w:link w:val="Titre1Car"/>
    <w:qFormat/>
    <w:rsid w:val="00AF40A5"/>
    <w:pPr>
      <w:keepNext/>
      <w:pageBreakBefore/>
      <w:numPr>
        <w:numId w:val="9"/>
      </w:numPr>
      <w:spacing w:after="240"/>
      <w:outlineLvl w:val="0"/>
    </w:pPr>
    <w:rPr>
      <w:rFonts w:eastAsia="Arial Unicode MS"/>
      <w:b/>
      <w:bCs/>
      <w:color w:val="50B848"/>
      <w:sz w:val="32"/>
      <w:szCs w:val="32"/>
    </w:rPr>
  </w:style>
  <w:style w:type="paragraph" w:styleId="Titre2">
    <w:name w:val="heading 2"/>
    <w:aliases w:val="Chapter Title"/>
    <w:basedOn w:val="Normal"/>
    <w:next w:val="Normal"/>
    <w:link w:val="Titre2Car"/>
    <w:qFormat/>
    <w:rsid w:val="00AF40A5"/>
    <w:pPr>
      <w:keepNext/>
      <w:numPr>
        <w:ilvl w:val="1"/>
        <w:numId w:val="9"/>
      </w:numPr>
      <w:spacing w:before="120" w:after="240"/>
      <w:outlineLvl w:val="1"/>
    </w:pPr>
    <w:rPr>
      <w:rFonts w:eastAsia="Arial Unicode MS"/>
      <w:b/>
      <w:bCs/>
      <w:color w:val="50B848"/>
      <w:kern w:val="28"/>
      <w:szCs w:val="28"/>
    </w:rPr>
  </w:style>
  <w:style w:type="paragraph" w:styleId="Titre3">
    <w:name w:val="heading 3"/>
    <w:basedOn w:val="Normal"/>
    <w:next w:val="Normal"/>
    <w:link w:val="Titre3Car"/>
    <w:qFormat/>
    <w:rsid w:val="00AF40A5"/>
    <w:pPr>
      <w:keepNext/>
      <w:numPr>
        <w:ilvl w:val="2"/>
        <w:numId w:val="9"/>
      </w:numPr>
      <w:spacing w:before="180" w:after="180"/>
      <w:outlineLvl w:val="2"/>
    </w:pPr>
    <w:rPr>
      <w:rFonts w:eastAsia="Arial Unicode MS"/>
      <w:b/>
      <w:bCs/>
      <w:color w:val="50B848"/>
      <w:kern w:val="18"/>
      <w:sz w:val="20"/>
    </w:rPr>
  </w:style>
  <w:style w:type="paragraph" w:styleId="Titre4">
    <w:name w:val="heading 4"/>
    <w:basedOn w:val="Normal"/>
    <w:next w:val="Normal"/>
    <w:link w:val="Titre4Car"/>
    <w:qFormat/>
    <w:rsid w:val="00AF40A5"/>
    <w:pPr>
      <w:keepNext/>
      <w:numPr>
        <w:ilvl w:val="3"/>
        <w:numId w:val="9"/>
      </w:numPr>
      <w:spacing w:before="120" w:after="120"/>
      <w:outlineLvl w:val="3"/>
    </w:pPr>
    <w:rPr>
      <w:rFonts w:eastAsia="Arial Unicode MS"/>
      <w:b/>
      <w:bCs/>
      <w:kern w:val="18"/>
      <w:sz w:val="22"/>
      <w:szCs w:val="22"/>
    </w:rPr>
  </w:style>
  <w:style w:type="paragraph" w:styleId="Titre5">
    <w:name w:val="heading 5"/>
    <w:basedOn w:val="Normal"/>
    <w:next w:val="Normal"/>
    <w:link w:val="Titre5Car"/>
    <w:qFormat/>
    <w:rsid w:val="00AF40A5"/>
    <w:pPr>
      <w:keepNext/>
      <w:numPr>
        <w:ilvl w:val="4"/>
        <w:numId w:val="9"/>
      </w:numPr>
      <w:spacing w:before="120" w:after="60"/>
      <w:outlineLvl w:val="4"/>
    </w:pPr>
    <w:rPr>
      <w:rFonts w:eastAsia="Arial Unicode MS"/>
      <w:kern w:val="18"/>
      <w:sz w:val="20"/>
      <w:szCs w:val="20"/>
    </w:rPr>
  </w:style>
  <w:style w:type="paragraph" w:styleId="Titre6">
    <w:name w:val="heading 6"/>
    <w:basedOn w:val="Normal"/>
    <w:next w:val="Normal"/>
    <w:link w:val="Titre6Car"/>
    <w:qFormat/>
    <w:rsid w:val="00AF40A5"/>
    <w:pPr>
      <w:keepNext/>
      <w:numPr>
        <w:ilvl w:val="5"/>
        <w:numId w:val="9"/>
      </w:numPr>
      <w:spacing w:before="240" w:after="120"/>
      <w:outlineLvl w:val="5"/>
    </w:pPr>
    <w:rPr>
      <w:rFonts w:eastAsia="Arial Unicode MS"/>
      <w:b/>
      <w:bCs/>
      <w:sz w:val="21"/>
      <w:szCs w:val="21"/>
    </w:rPr>
  </w:style>
  <w:style w:type="paragraph" w:styleId="Titre7">
    <w:name w:val="heading 7"/>
    <w:basedOn w:val="Normal"/>
    <w:next w:val="Normal"/>
    <w:link w:val="Titre7Car"/>
    <w:qFormat/>
    <w:rsid w:val="00AF40A5"/>
    <w:pPr>
      <w:keepNext/>
      <w:numPr>
        <w:ilvl w:val="6"/>
        <w:numId w:val="9"/>
      </w:numPr>
      <w:spacing w:before="240" w:after="120"/>
      <w:outlineLvl w:val="6"/>
    </w:pPr>
    <w:rPr>
      <w:rFonts w:eastAsia="Arial Unicode MS"/>
      <w:b/>
      <w:bCs/>
      <w:sz w:val="21"/>
      <w:szCs w:val="21"/>
    </w:rPr>
  </w:style>
  <w:style w:type="paragraph" w:styleId="Titre8">
    <w:name w:val="heading 8"/>
    <w:basedOn w:val="Normal"/>
    <w:next w:val="Normal"/>
    <w:link w:val="Titre8Car"/>
    <w:qFormat/>
    <w:rsid w:val="00AF40A5"/>
    <w:pPr>
      <w:keepNext/>
      <w:numPr>
        <w:ilvl w:val="7"/>
        <w:numId w:val="9"/>
      </w:numPr>
      <w:spacing w:before="240" w:after="120"/>
      <w:outlineLvl w:val="7"/>
    </w:pPr>
    <w:rPr>
      <w:rFonts w:eastAsia="Arial Unicode MS"/>
      <w:b/>
      <w:bCs/>
      <w:sz w:val="21"/>
      <w:szCs w:val="21"/>
    </w:rPr>
  </w:style>
  <w:style w:type="paragraph" w:styleId="Titre9">
    <w:name w:val="heading 9"/>
    <w:basedOn w:val="Normal"/>
    <w:next w:val="Normal"/>
    <w:link w:val="Titre9Car"/>
    <w:qFormat/>
    <w:rsid w:val="00AF40A5"/>
    <w:pPr>
      <w:keepNext/>
      <w:numPr>
        <w:ilvl w:val="8"/>
        <w:numId w:val="9"/>
      </w:numPr>
      <w:spacing w:before="240" w:after="120"/>
      <w:outlineLvl w:val="8"/>
    </w:pPr>
    <w:rPr>
      <w:rFonts w:eastAsia="Arial Unicode MS"/>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F40A5"/>
    <w:rPr>
      <w:rFonts w:ascii="Arial" w:eastAsia="Arial Unicode MS" w:hAnsi="Arial"/>
      <w:b/>
      <w:bCs/>
      <w:snapToGrid w:val="0"/>
      <w:color w:val="50B848"/>
      <w:kern w:val="1"/>
      <w:sz w:val="32"/>
      <w:szCs w:val="32"/>
      <w:lang w:val="fr-FR" w:eastAsia="fr-FR"/>
    </w:rPr>
  </w:style>
  <w:style w:type="character" w:customStyle="1" w:styleId="Titre2Car">
    <w:name w:val="Titre 2 Car"/>
    <w:aliases w:val="Chapter Title Car"/>
    <w:basedOn w:val="Policepardfaut"/>
    <w:link w:val="Titre2"/>
    <w:rsid w:val="00AF40A5"/>
    <w:rPr>
      <w:rFonts w:ascii="Arial" w:eastAsia="Arial Unicode MS" w:hAnsi="Arial"/>
      <w:b/>
      <w:bCs/>
      <w:snapToGrid w:val="0"/>
      <w:color w:val="50B848"/>
      <w:kern w:val="28"/>
      <w:sz w:val="24"/>
      <w:szCs w:val="28"/>
      <w:lang w:val="fr-FR" w:eastAsia="fr-FR"/>
    </w:rPr>
  </w:style>
  <w:style w:type="character" w:customStyle="1" w:styleId="Titre3Car">
    <w:name w:val="Titre 3 Car"/>
    <w:basedOn w:val="Policepardfaut"/>
    <w:link w:val="Titre3"/>
    <w:rsid w:val="00AF40A5"/>
    <w:rPr>
      <w:rFonts w:ascii="Arial" w:eastAsia="Arial Unicode MS" w:hAnsi="Arial"/>
      <w:b/>
      <w:bCs/>
      <w:snapToGrid w:val="0"/>
      <w:color w:val="50B848"/>
      <w:kern w:val="18"/>
      <w:szCs w:val="24"/>
      <w:lang w:val="fr-FR" w:eastAsia="fr-FR"/>
    </w:rPr>
  </w:style>
  <w:style w:type="character" w:customStyle="1" w:styleId="Titre4Car">
    <w:name w:val="Titre 4 Car"/>
    <w:basedOn w:val="Policepardfaut"/>
    <w:link w:val="Titre4"/>
    <w:rsid w:val="00AF40A5"/>
    <w:rPr>
      <w:rFonts w:ascii="Arial" w:eastAsia="Arial Unicode MS" w:hAnsi="Arial"/>
      <w:b/>
      <w:bCs/>
      <w:snapToGrid w:val="0"/>
      <w:kern w:val="18"/>
      <w:sz w:val="22"/>
      <w:szCs w:val="22"/>
      <w:lang w:val="fr-FR" w:eastAsia="fr-FR"/>
    </w:rPr>
  </w:style>
  <w:style w:type="character" w:customStyle="1" w:styleId="Titre5Car">
    <w:name w:val="Titre 5 Car"/>
    <w:basedOn w:val="Policepardfaut"/>
    <w:link w:val="Titre5"/>
    <w:rsid w:val="00AF40A5"/>
    <w:rPr>
      <w:rFonts w:ascii="Arial" w:eastAsia="Arial Unicode MS" w:hAnsi="Arial"/>
      <w:snapToGrid w:val="0"/>
      <w:kern w:val="18"/>
      <w:lang w:val="fr-FR" w:eastAsia="fr-FR"/>
    </w:rPr>
  </w:style>
  <w:style w:type="character" w:customStyle="1" w:styleId="Titre6Car">
    <w:name w:val="Titre 6 Car"/>
    <w:basedOn w:val="Policepardfaut"/>
    <w:link w:val="Titre6"/>
    <w:rsid w:val="00AF40A5"/>
    <w:rPr>
      <w:rFonts w:ascii="Arial" w:eastAsia="Arial Unicode MS" w:hAnsi="Arial"/>
      <w:b/>
      <w:bCs/>
      <w:snapToGrid w:val="0"/>
      <w:kern w:val="1"/>
      <w:sz w:val="21"/>
      <w:szCs w:val="21"/>
      <w:lang w:val="fr-FR" w:eastAsia="fr-FR"/>
    </w:rPr>
  </w:style>
  <w:style w:type="character" w:customStyle="1" w:styleId="Titre7Car">
    <w:name w:val="Titre 7 Car"/>
    <w:basedOn w:val="Policepardfaut"/>
    <w:link w:val="Titre7"/>
    <w:rsid w:val="00AF40A5"/>
    <w:rPr>
      <w:rFonts w:ascii="Arial" w:eastAsia="Arial Unicode MS" w:hAnsi="Arial"/>
      <w:b/>
      <w:bCs/>
      <w:snapToGrid w:val="0"/>
      <w:kern w:val="1"/>
      <w:sz w:val="21"/>
      <w:szCs w:val="21"/>
      <w:lang w:val="fr-FR" w:eastAsia="fr-FR"/>
    </w:rPr>
  </w:style>
  <w:style w:type="character" w:customStyle="1" w:styleId="Titre8Car">
    <w:name w:val="Titre 8 Car"/>
    <w:basedOn w:val="Policepardfaut"/>
    <w:link w:val="Titre8"/>
    <w:rsid w:val="00AF40A5"/>
    <w:rPr>
      <w:rFonts w:ascii="Arial" w:eastAsia="Arial Unicode MS" w:hAnsi="Arial"/>
      <w:b/>
      <w:bCs/>
      <w:snapToGrid w:val="0"/>
      <w:kern w:val="1"/>
      <w:sz w:val="21"/>
      <w:szCs w:val="21"/>
      <w:lang w:val="fr-FR" w:eastAsia="fr-FR"/>
    </w:rPr>
  </w:style>
  <w:style w:type="character" w:customStyle="1" w:styleId="Titre9Car">
    <w:name w:val="Titre 9 Car"/>
    <w:basedOn w:val="Policepardfaut"/>
    <w:link w:val="Titre9"/>
    <w:rsid w:val="00AF40A5"/>
    <w:rPr>
      <w:rFonts w:ascii="Arial" w:eastAsia="Arial Unicode MS" w:hAnsi="Arial"/>
      <w:b/>
      <w:bCs/>
      <w:snapToGrid w:val="0"/>
      <w:kern w:val="1"/>
      <w:sz w:val="21"/>
      <w:szCs w:val="21"/>
      <w:lang w:val="fr-FR" w:eastAsia="fr-FR"/>
    </w:rPr>
  </w:style>
  <w:style w:type="paragraph" w:styleId="Lgende">
    <w:name w:val="caption"/>
    <w:basedOn w:val="Normal"/>
    <w:uiPriority w:val="99"/>
    <w:qFormat/>
    <w:rsid w:val="00AF40A5"/>
    <w:pPr>
      <w:suppressLineNumbers/>
      <w:spacing w:before="120" w:after="120"/>
    </w:pPr>
    <w:rPr>
      <w:i/>
      <w:iCs/>
    </w:rPr>
  </w:style>
  <w:style w:type="paragraph" w:styleId="Sansinterligne">
    <w:name w:val="No Spacing"/>
    <w:uiPriority w:val="1"/>
    <w:qFormat/>
    <w:rsid w:val="00AF40A5"/>
    <w:pPr>
      <w:widowControl w:val="0"/>
      <w:suppressAutoHyphens/>
    </w:pPr>
    <w:rPr>
      <w:rFonts w:ascii="Arial" w:hAnsi="Arial"/>
      <w:snapToGrid w:val="0"/>
      <w:kern w:val="1"/>
      <w:sz w:val="24"/>
      <w:szCs w:val="24"/>
      <w:lang w:val="fr-FR" w:eastAsia="fr-FR"/>
    </w:rPr>
  </w:style>
  <w:style w:type="paragraph" w:styleId="Paragraphedeliste">
    <w:name w:val="List Paragraph"/>
    <w:basedOn w:val="Normal"/>
    <w:uiPriority w:val="34"/>
    <w:qFormat/>
    <w:rsid w:val="00AF40A5"/>
    <w:pPr>
      <w:widowControl/>
      <w:suppressAutoHyphens w:val="0"/>
      <w:spacing w:after="200" w:line="276" w:lineRule="auto"/>
      <w:ind w:left="720"/>
      <w:contextualSpacing/>
    </w:pPr>
    <w:rPr>
      <w:rFonts w:ascii="Calibri" w:eastAsia="Calibri" w:hAnsi="Calibri"/>
      <w:snapToGrid w:val="0"/>
      <w:kern w:val="0"/>
      <w:sz w:val="22"/>
      <w:szCs w:val="22"/>
      <w:lang w:val="fr-BE" w:eastAsia="en-US"/>
    </w:rPr>
  </w:style>
  <w:style w:type="character" w:styleId="Lienhypertexte">
    <w:name w:val="Hyperlink"/>
    <w:uiPriority w:val="99"/>
    <w:semiHidden/>
    <w:unhideWhenUsed/>
    <w:rsid w:val="0055535A"/>
    <w:rPr>
      <w:color w:val="000080"/>
      <w:u w:val="single"/>
      <w:lang w:val="fr-FR" w:eastAsia="fr-FR"/>
    </w:rPr>
  </w:style>
  <w:style w:type="character" w:styleId="Lienhypertextesuivivisit">
    <w:name w:val="FollowedHyperlink"/>
    <w:semiHidden/>
    <w:unhideWhenUsed/>
    <w:rsid w:val="0055535A"/>
    <w:rPr>
      <w:color w:val="800080"/>
      <w:u w:val="single"/>
      <w:lang w:val="fr-FR" w:eastAsia="fr-FR"/>
    </w:rPr>
  </w:style>
  <w:style w:type="paragraph" w:styleId="NormalWeb">
    <w:name w:val="Normal (Web)"/>
    <w:basedOn w:val="Normal"/>
    <w:uiPriority w:val="99"/>
    <w:semiHidden/>
    <w:unhideWhenUsed/>
    <w:rsid w:val="0055535A"/>
    <w:pPr>
      <w:widowControl/>
      <w:suppressAutoHyphens w:val="0"/>
      <w:snapToGrid/>
      <w:spacing w:before="100" w:beforeAutospacing="1" w:after="100" w:afterAutospacing="1"/>
    </w:pPr>
    <w:rPr>
      <w:rFonts w:ascii="Times New Roman" w:hAnsi="Times New Roman"/>
    </w:rPr>
  </w:style>
  <w:style w:type="paragraph" w:styleId="TM1">
    <w:name w:val="toc 1"/>
    <w:basedOn w:val="Normal"/>
    <w:next w:val="Normal"/>
    <w:autoRedefine/>
    <w:uiPriority w:val="39"/>
    <w:semiHidden/>
    <w:unhideWhenUsed/>
    <w:rsid w:val="0055535A"/>
    <w:pPr>
      <w:tabs>
        <w:tab w:val="right" w:leader="dot" w:pos="7925"/>
      </w:tabs>
      <w:spacing w:before="120" w:after="120"/>
      <w:jc w:val="center"/>
    </w:pPr>
    <w:rPr>
      <w:rFonts w:ascii="Times New Roman" w:hAnsi="Times New Roman"/>
      <w:b/>
      <w:bCs/>
      <w:caps/>
    </w:rPr>
  </w:style>
  <w:style w:type="paragraph" w:styleId="TM2">
    <w:name w:val="toc 2"/>
    <w:basedOn w:val="Normal"/>
    <w:next w:val="Normal"/>
    <w:autoRedefine/>
    <w:uiPriority w:val="39"/>
    <w:semiHidden/>
    <w:unhideWhenUsed/>
    <w:rsid w:val="0055535A"/>
    <w:pPr>
      <w:tabs>
        <w:tab w:val="left" w:pos="960"/>
        <w:tab w:val="right" w:leader="dot" w:pos="7925"/>
      </w:tabs>
    </w:pPr>
    <w:rPr>
      <w:rFonts w:cs="Arial"/>
      <w:bCs/>
      <w:smallCaps/>
      <w:noProof/>
      <w:kern w:val="28"/>
      <w:sz w:val="20"/>
      <w:szCs w:val="20"/>
    </w:rPr>
  </w:style>
  <w:style w:type="paragraph" w:styleId="TM3">
    <w:name w:val="toc 3"/>
    <w:basedOn w:val="Normal"/>
    <w:next w:val="Normal"/>
    <w:autoRedefine/>
    <w:uiPriority w:val="39"/>
    <w:semiHidden/>
    <w:unhideWhenUsed/>
    <w:rsid w:val="0055535A"/>
    <w:pPr>
      <w:ind w:left="480"/>
    </w:pPr>
    <w:rPr>
      <w:rFonts w:ascii="Times New Roman" w:hAnsi="Times New Roman"/>
      <w:i/>
      <w:iCs/>
    </w:rPr>
  </w:style>
  <w:style w:type="paragraph" w:styleId="TM4">
    <w:name w:val="toc 4"/>
    <w:basedOn w:val="Normal"/>
    <w:next w:val="Normal"/>
    <w:autoRedefine/>
    <w:uiPriority w:val="39"/>
    <w:semiHidden/>
    <w:unhideWhenUsed/>
    <w:rsid w:val="0055535A"/>
    <w:pPr>
      <w:ind w:left="720"/>
    </w:pPr>
    <w:rPr>
      <w:rFonts w:ascii="Times New Roman" w:hAnsi="Times New Roman"/>
      <w:szCs w:val="21"/>
    </w:rPr>
  </w:style>
  <w:style w:type="paragraph" w:styleId="TM5">
    <w:name w:val="toc 5"/>
    <w:basedOn w:val="Normal"/>
    <w:next w:val="Normal"/>
    <w:autoRedefine/>
    <w:uiPriority w:val="39"/>
    <w:semiHidden/>
    <w:unhideWhenUsed/>
    <w:rsid w:val="0055535A"/>
    <w:pPr>
      <w:ind w:left="960"/>
    </w:pPr>
    <w:rPr>
      <w:rFonts w:ascii="Times New Roman" w:hAnsi="Times New Roman"/>
      <w:szCs w:val="21"/>
    </w:rPr>
  </w:style>
  <w:style w:type="character" w:customStyle="1" w:styleId="NotedebasdepageCar1">
    <w:name w:val="Note de bas de page Car1"/>
    <w:aliases w:val="CTB Bas de page Car1"/>
    <w:link w:val="Notedebasdepage"/>
    <w:semiHidden/>
    <w:locked/>
    <w:rsid w:val="0055535A"/>
    <w:rPr>
      <w:rFonts w:ascii="Arial" w:hAnsi="Arial" w:cs="Arial"/>
      <w:kern w:val="2"/>
      <w:sz w:val="14"/>
      <w:szCs w:val="14"/>
      <w:lang w:val="fr-FR" w:eastAsia="fr-FR"/>
    </w:rPr>
  </w:style>
  <w:style w:type="paragraph" w:styleId="Notedebasdepage">
    <w:name w:val="footnote text"/>
    <w:aliases w:val="CTB Bas de page"/>
    <w:basedOn w:val="Normal"/>
    <w:link w:val="NotedebasdepageCar1"/>
    <w:semiHidden/>
    <w:unhideWhenUsed/>
    <w:qFormat/>
    <w:rsid w:val="0055535A"/>
    <w:pPr>
      <w:suppressLineNumbers/>
      <w:ind w:left="283" w:hanging="283"/>
    </w:pPr>
    <w:rPr>
      <w:rFonts w:cs="Arial"/>
      <w:sz w:val="14"/>
      <w:szCs w:val="14"/>
    </w:rPr>
  </w:style>
  <w:style w:type="character" w:customStyle="1" w:styleId="NotedebasdepageCar">
    <w:name w:val="Note de bas de page Car"/>
    <w:aliases w:val="CTB Bas de page Car"/>
    <w:basedOn w:val="Policepardfaut"/>
    <w:uiPriority w:val="99"/>
    <w:semiHidden/>
    <w:rsid w:val="0055535A"/>
    <w:rPr>
      <w:rFonts w:ascii="Arial" w:hAnsi="Arial"/>
      <w:kern w:val="2"/>
      <w:lang w:val="fr-FR" w:eastAsia="fr-FR"/>
    </w:rPr>
  </w:style>
  <w:style w:type="paragraph" w:styleId="Commentaire">
    <w:name w:val="annotation text"/>
    <w:basedOn w:val="Normal"/>
    <w:link w:val="CommentaireCar"/>
    <w:uiPriority w:val="99"/>
    <w:semiHidden/>
    <w:unhideWhenUsed/>
    <w:rsid w:val="0055535A"/>
    <w:rPr>
      <w:sz w:val="20"/>
      <w:szCs w:val="20"/>
    </w:rPr>
  </w:style>
  <w:style w:type="character" w:customStyle="1" w:styleId="CommentaireCar">
    <w:name w:val="Commentaire Car"/>
    <w:basedOn w:val="Policepardfaut"/>
    <w:link w:val="Commentaire"/>
    <w:uiPriority w:val="99"/>
    <w:semiHidden/>
    <w:rsid w:val="0055535A"/>
    <w:rPr>
      <w:rFonts w:ascii="Arial" w:hAnsi="Arial"/>
      <w:kern w:val="2"/>
      <w:lang w:val="fr-FR" w:eastAsia="fr-FR"/>
    </w:rPr>
  </w:style>
  <w:style w:type="paragraph" w:styleId="En-tte">
    <w:name w:val="header"/>
    <w:basedOn w:val="Normal"/>
    <w:link w:val="En-tteCar"/>
    <w:uiPriority w:val="99"/>
    <w:unhideWhenUsed/>
    <w:rsid w:val="0055535A"/>
    <w:pPr>
      <w:suppressLineNumbers/>
      <w:tabs>
        <w:tab w:val="center" w:pos="4818"/>
        <w:tab w:val="right" w:pos="9637"/>
      </w:tabs>
    </w:pPr>
  </w:style>
  <w:style w:type="character" w:customStyle="1" w:styleId="En-tteCar">
    <w:name w:val="En-tête Car"/>
    <w:basedOn w:val="Policepardfaut"/>
    <w:link w:val="En-tte"/>
    <w:uiPriority w:val="99"/>
    <w:rsid w:val="0055535A"/>
    <w:rPr>
      <w:rFonts w:ascii="Arial" w:hAnsi="Arial"/>
      <w:kern w:val="2"/>
      <w:sz w:val="24"/>
      <w:szCs w:val="24"/>
      <w:lang w:val="fr-FR" w:eastAsia="fr-FR"/>
    </w:rPr>
  </w:style>
  <w:style w:type="paragraph" w:styleId="Pieddepage">
    <w:name w:val="footer"/>
    <w:basedOn w:val="Normal"/>
    <w:link w:val="PieddepageCar"/>
    <w:uiPriority w:val="99"/>
    <w:unhideWhenUsed/>
    <w:rsid w:val="0055535A"/>
    <w:pPr>
      <w:suppressLineNumbers/>
      <w:tabs>
        <w:tab w:val="center" w:pos="4818"/>
        <w:tab w:val="right" w:pos="9637"/>
      </w:tabs>
    </w:pPr>
    <w:rPr>
      <w:sz w:val="14"/>
      <w:szCs w:val="14"/>
    </w:rPr>
  </w:style>
  <w:style w:type="character" w:customStyle="1" w:styleId="PieddepageCar">
    <w:name w:val="Pied de page Car"/>
    <w:basedOn w:val="Policepardfaut"/>
    <w:link w:val="Pieddepage"/>
    <w:uiPriority w:val="99"/>
    <w:rsid w:val="0055535A"/>
    <w:rPr>
      <w:rFonts w:ascii="Arial" w:hAnsi="Arial"/>
      <w:kern w:val="2"/>
      <w:sz w:val="14"/>
      <w:szCs w:val="14"/>
      <w:lang w:val="fr-FR" w:eastAsia="fr-FR"/>
    </w:rPr>
  </w:style>
  <w:style w:type="paragraph" w:styleId="Liste">
    <w:name w:val="List"/>
    <w:basedOn w:val="Normal"/>
    <w:uiPriority w:val="99"/>
    <w:semiHidden/>
    <w:unhideWhenUsed/>
    <w:rsid w:val="0055535A"/>
    <w:pPr>
      <w:numPr>
        <w:ilvl w:val="8"/>
        <w:numId w:val="10"/>
      </w:numPr>
      <w:spacing w:after="120" w:line="288" w:lineRule="auto"/>
      <w:jc w:val="both"/>
    </w:pPr>
    <w:rPr>
      <w:kern w:val="18"/>
      <w:sz w:val="20"/>
      <w:szCs w:val="20"/>
    </w:rPr>
  </w:style>
  <w:style w:type="paragraph" w:styleId="Listepuces">
    <w:name w:val="List Bullet"/>
    <w:basedOn w:val="Normal"/>
    <w:uiPriority w:val="99"/>
    <w:semiHidden/>
    <w:unhideWhenUsed/>
    <w:rsid w:val="0055535A"/>
    <w:pPr>
      <w:numPr>
        <w:numId w:val="11"/>
      </w:numPr>
      <w:contextualSpacing/>
    </w:pPr>
  </w:style>
  <w:style w:type="paragraph" w:styleId="Corpsdetexte">
    <w:name w:val="Body Text"/>
    <w:basedOn w:val="Normal"/>
    <w:link w:val="CorpsdetexteCar"/>
    <w:uiPriority w:val="99"/>
    <w:semiHidden/>
    <w:unhideWhenUsed/>
    <w:rsid w:val="0055535A"/>
    <w:pPr>
      <w:spacing w:after="120" w:line="288" w:lineRule="auto"/>
      <w:jc w:val="both"/>
    </w:pPr>
    <w:rPr>
      <w:rFonts w:eastAsia="Arial Unicode MS"/>
      <w:kern w:val="18"/>
      <w:sz w:val="20"/>
      <w:szCs w:val="20"/>
    </w:rPr>
  </w:style>
  <w:style w:type="character" w:customStyle="1" w:styleId="CorpsdetexteCar">
    <w:name w:val="Corps de texte Car"/>
    <w:basedOn w:val="Policepardfaut"/>
    <w:link w:val="Corpsdetexte"/>
    <w:uiPriority w:val="99"/>
    <w:semiHidden/>
    <w:rsid w:val="0055535A"/>
    <w:rPr>
      <w:rFonts w:ascii="Arial" w:eastAsia="Arial Unicode MS" w:hAnsi="Arial"/>
      <w:kern w:val="18"/>
      <w:lang w:val="fr-FR" w:eastAsia="fr-FR"/>
    </w:rPr>
  </w:style>
  <w:style w:type="paragraph" w:styleId="Corpsdetexte2">
    <w:name w:val="Body Text 2"/>
    <w:basedOn w:val="Normal"/>
    <w:link w:val="Corpsdetexte2Car"/>
    <w:uiPriority w:val="99"/>
    <w:semiHidden/>
    <w:unhideWhenUsed/>
    <w:rsid w:val="0055535A"/>
    <w:rPr>
      <w:rFonts w:cs="Arial"/>
      <w:i/>
      <w:iCs/>
      <w:noProof/>
      <w:sz w:val="20"/>
      <w:szCs w:val="20"/>
    </w:rPr>
  </w:style>
  <w:style w:type="character" w:customStyle="1" w:styleId="Corpsdetexte2Car">
    <w:name w:val="Corps de texte 2 Car"/>
    <w:basedOn w:val="Policepardfaut"/>
    <w:link w:val="Corpsdetexte2"/>
    <w:uiPriority w:val="99"/>
    <w:semiHidden/>
    <w:rsid w:val="0055535A"/>
    <w:rPr>
      <w:rFonts w:ascii="Arial" w:hAnsi="Arial" w:cs="Arial"/>
      <w:i/>
      <w:iCs/>
      <w:noProof/>
      <w:kern w:val="2"/>
      <w:lang w:val="fr-FR" w:eastAsia="fr-FR"/>
    </w:rPr>
  </w:style>
  <w:style w:type="paragraph" w:styleId="Normalcentr">
    <w:name w:val="Block Text"/>
    <w:basedOn w:val="Normal"/>
    <w:uiPriority w:val="99"/>
    <w:semiHidden/>
    <w:unhideWhenUsed/>
    <w:rsid w:val="0055535A"/>
    <w:pPr>
      <w:widowControl/>
      <w:suppressAutoHyphens w:val="0"/>
      <w:snapToGrid/>
    </w:pPr>
    <w:rPr>
      <w:rFonts w:ascii="Times New Roman" w:hAnsi="Times New Roman"/>
    </w:rPr>
  </w:style>
  <w:style w:type="paragraph" w:styleId="Explorateurdedocuments">
    <w:name w:val="Document Map"/>
    <w:basedOn w:val="Normal"/>
    <w:link w:val="ExplorateurdedocumentsCar"/>
    <w:uiPriority w:val="99"/>
    <w:semiHidden/>
    <w:unhideWhenUsed/>
    <w:rsid w:val="0055535A"/>
    <w:pPr>
      <w:shd w:val="clear" w:color="auto" w:fill="000080"/>
    </w:pPr>
    <w:rPr>
      <w:rFonts w:ascii="Times New Roman" w:hAnsi="Times New Roman"/>
    </w:rPr>
  </w:style>
  <w:style w:type="character" w:customStyle="1" w:styleId="ExplorateurdedocumentsCar">
    <w:name w:val="Explorateur de documents Car"/>
    <w:basedOn w:val="Policepardfaut"/>
    <w:link w:val="Explorateurdedocuments"/>
    <w:uiPriority w:val="99"/>
    <w:semiHidden/>
    <w:rsid w:val="0055535A"/>
    <w:rPr>
      <w:kern w:val="2"/>
      <w:sz w:val="24"/>
      <w:szCs w:val="24"/>
      <w:shd w:val="clear" w:color="auto" w:fill="000080"/>
      <w:lang w:val="fr-FR" w:eastAsia="fr-FR"/>
    </w:rPr>
  </w:style>
  <w:style w:type="paragraph" w:styleId="Objetducommentaire">
    <w:name w:val="annotation subject"/>
    <w:basedOn w:val="Commentaire"/>
    <w:next w:val="Commentaire"/>
    <w:link w:val="ObjetducommentaireCar"/>
    <w:uiPriority w:val="99"/>
    <w:semiHidden/>
    <w:unhideWhenUsed/>
    <w:rsid w:val="0055535A"/>
    <w:rPr>
      <w:b/>
      <w:bCs/>
    </w:rPr>
  </w:style>
  <w:style w:type="character" w:customStyle="1" w:styleId="ObjetducommentaireCar">
    <w:name w:val="Objet du commentaire Car"/>
    <w:basedOn w:val="CommentaireCar"/>
    <w:link w:val="Objetducommentaire"/>
    <w:uiPriority w:val="99"/>
    <w:semiHidden/>
    <w:rsid w:val="0055535A"/>
    <w:rPr>
      <w:rFonts w:ascii="Arial" w:hAnsi="Arial"/>
      <w:b/>
      <w:bCs/>
      <w:kern w:val="2"/>
      <w:lang w:val="fr-FR" w:eastAsia="fr-FR"/>
    </w:rPr>
  </w:style>
  <w:style w:type="paragraph" w:styleId="Textedebulles">
    <w:name w:val="Balloon Text"/>
    <w:basedOn w:val="Normal"/>
    <w:link w:val="TextedebullesCar"/>
    <w:uiPriority w:val="99"/>
    <w:semiHidden/>
    <w:unhideWhenUsed/>
    <w:rsid w:val="0055535A"/>
    <w:rPr>
      <w:rFonts w:ascii="Tahoma" w:hAnsi="Tahoma" w:cs="Tahoma"/>
      <w:sz w:val="16"/>
      <w:szCs w:val="16"/>
    </w:rPr>
  </w:style>
  <w:style w:type="character" w:customStyle="1" w:styleId="TextedebullesCar">
    <w:name w:val="Texte de bulles Car"/>
    <w:basedOn w:val="Policepardfaut"/>
    <w:link w:val="Textedebulles"/>
    <w:uiPriority w:val="99"/>
    <w:semiHidden/>
    <w:rsid w:val="0055535A"/>
    <w:rPr>
      <w:rFonts w:ascii="Tahoma" w:hAnsi="Tahoma" w:cs="Tahoma"/>
      <w:kern w:val="2"/>
      <w:sz w:val="16"/>
      <w:szCs w:val="16"/>
      <w:lang w:val="fr-FR" w:eastAsia="fr-FR"/>
    </w:rPr>
  </w:style>
  <w:style w:type="paragraph" w:styleId="Rvision">
    <w:name w:val="Revision"/>
    <w:uiPriority w:val="99"/>
    <w:semiHidden/>
    <w:rsid w:val="0055535A"/>
    <w:pPr>
      <w:snapToGrid w:val="0"/>
    </w:pPr>
    <w:rPr>
      <w:rFonts w:ascii="Arial" w:hAnsi="Arial"/>
      <w:kern w:val="2"/>
      <w:sz w:val="24"/>
      <w:szCs w:val="24"/>
      <w:lang w:val="fr-FR" w:eastAsia="fr-FR"/>
    </w:rPr>
  </w:style>
  <w:style w:type="paragraph" w:customStyle="1" w:styleId="Heading">
    <w:name w:val="Heading"/>
    <w:basedOn w:val="Normal"/>
    <w:next w:val="Normal"/>
    <w:uiPriority w:val="99"/>
    <w:rsid w:val="0055535A"/>
    <w:pPr>
      <w:keepNext/>
      <w:spacing w:before="240" w:after="120"/>
    </w:pPr>
    <w:rPr>
      <w:rFonts w:eastAsia="Arial Unicode MS"/>
      <w:sz w:val="28"/>
      <w:szCs w:val="28"/>
    </w:rPr>
  </w:style>
  <w:style w:type="paragraph" w:customStyle="1" w:styleId="Index">
    <w:name w:val="Index"/>
    <w:basedOn w:val="Normal"/>
    <w:uiPriority w:val="99"/>
    <w:rsid w:val="0055535A"/>
    <w:pPr>
      <w:suppressLineNumbers/>
    </w:pPr>
  </w:style>
  <w:style w:type="paragraph" w:customStyle="1" w:styleId="CTBSoustitre">
    <w:name w:val="CTB_Sous titre"/>
    <w:basedOn w:val="Normal"/>
    <w:next w:val="Normal"/>
    <w:uiPriority w:val="99"/>
    <w:rsid w:val="0055535A"/>
    <w:pPr>
      <w:ind w:left="1503"/>
    </w:pPr>
    <w:rPr>
      <w:b/>
      <w:bCs/>
      <w:caps/>
      <w:color w:val="50B848"/>
      <w:sz w:val="44"/>
      <w:szCs w:val="44"/>
    </w:rPr>
  </w:style>
  <w:style w:type="paragraph" w:customStyle="1" w:styleId="CTBGrandtitre">
    <w:name w:val="CTB_Grand titre"/>
    <w:basedOn w:val="Normal"/>
    <w:next w:val="CTBSoustitre"/>
    <w:uiPriority w:val="99"/>
    <w:rsid w:val="0055535A"/>
    <w:pPr>
      <w:spacing w:before="3402"/>
      <w:ind w:left="1503"/>
    </w:pPr>
    <w:rPr>
      <w:b/>
      <w:bCs/>
      <w:caps/>
      <w:color w:val="50B848"/>
      <w:sz w:val="60"/>
      <w:szCs w:val="60"/>
    </w:rPr>
  </w:style>
  <w:style w:type="paragraph" w:customStyle="1" w:styleId="Framecontents">
    <w:name w:val="Frame contents"/>
    <w:basedOn w:val="Normal"/>
    <w:uiPriority w:val="99"/>
    <w:rsid w:val="0055535A"/>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uiPriority w:val="99"/>
    <w:rsid w:val="0055535A"/>
    <w:pPr>
      <w:suppressLineNumbers/>
    </w:pPr>
    <w:rPr>
      <w:b/>
      <w:bCs/>
      <w:color w:val="50B848"/>
      <w:sz w:val="32"/>
      <w:szCs w:val="32"/>
    </w:rPr>
  </w:style>
  <w:style w:type="paragraph" w:customStyle="1" w:styleId="Contents10">
    <w:name w:val="Contents 10"/>
    <w:basedOn w:val="Index"/>
    <w:uiPriority w:val="99"/>
    <w:rsid w:val="0055535A"/>
    <w:pPr>
      <w:tabs>
        <w:tab w:val="right" w:leader="dot" w:pos="9637"/>
      </w:tabs>
      <w:ind w:left="2547"/>
    </w:pPr>
    <w:rPr>
      <w:sz w:val="18"/>
      <w:szCs w:val="18"/>
    </w:rPr>
  </w:style>
  <w:style w:type="paragraph" w:customStyle="1" w:styleId="PreformattedText">
    <w:name w:val="Preformatted Text"/>
    <w:basedOn w:val="Normal"/>
    <w:uiPriority w:val="99"/>
    <w:rsid w:val="0055535A"/>
    <w:rPr>
      <w:rFonts w:ascii="Times New Roman" w:hAnsi="Times New Roman"/>
      <w:sz w:val="20"/>
      <w:szCs w:val="20"/>
    </w:rPr>
  </w:style>
  <w:style w:type="paragraph" w:customStyle="1" w:styleId="Heading10">
    <w:name w:val="Heading 10"/>
    <w:basedOn w:val="Heading"/>
    <w:next w:val="Normal"/>
    <w:uiPriority w:val="99"/>
    <w:rsid w:val="0055535A"/>
    <w:pPr>
      <w:tabs>
        <w:tab w:val="num" w:pos="1584"/>
      </w:tabs>
      <w:ind w:left="1584" w:hanging="1584"/>
      <w:outlineLvl w:val="8"/>
    </w:pPr>
    <w:rPr>
      <w:b/>
      <w:bCs/>
      <w:sz w:val="21"/>
      <w:szCs w:val="21"/>
    </w:rPr>
  </w:style>
  <w:style w:type="paragraph" w:customStyle="1" w:styleId="Sansnom1">
    <w:name w:val="Sans nom1"/>
    <w:basedOn w:val="Normal"/>
    <w:uiPriority w:val="99"/>
    <w:rsid w:val="0055535A"/>
    <w:pPr>
      <w:widowControl/>
      <w:tabs>
        <w:tab w:val="left" w:pos="1985"/>
        <w:tab w:val="right" w:leader="dot" w:pos="9060"/>
      </w:tabs>
      <w:suppressAutoHyphens w:val="0"/>
      <w:spacing w:before="60" w:after="100" w:afterAutospacing="1"/>
      <w:ind w:left="850"/>
    </w:pPr>
    <w:rPr>
      <w:rFonts w:cs="Arial"/>
      <w:noProof/>
      <w:sz w:val="20"/>
      <w:szCs w:val="20"/>
    </w:rPr>
  </w:style>
  <w:style w:type="paragraph" w:customStyle="1" w:styleId="Illustration">
    <w:name w:val="Illustration"/>
    <w:basedOn w:val="Lgende"/>
    <w:uiPriority w:val="99"/>
    <w:rsid w:val="0055535A"/>
  </w:style>
  <w:style w:type="paragraph" w:customStyle="1" w:styleId="Text">
    <w:name w:val="Text"/>
    <w:basedOn w:val="Lgende"/>
    <w:uiPriority w:val="99"/>
    <w:rsid w:val="0055535A"/>
  </w:style>
  <w:style w:type="paragraph" w:customStyle="1" w:styleId="TableContents">
    <w:name w:val="Table Contents"/>
    <w:basedOn w:val="Normal"/>
    <w:uiPriority w:val="99"/>
    <w:rsid w:val="0055535A"/>
    <w:pPr>
      <w:suppressLineNumbers/>
    </w:pPr>
  </w:style>
  <w:style w:type="paragraph" w:customStyle="1" w:styleId="BTCBullets">
    <w:name w:val="BTC Bullets"/>
    <w:basedOn w:val="Normal"/>
    <w:uiPriority w:val="99"/>
    <w:rsid w:val="0055535A"/>
    <w:pPr>
      <w:numPr>
        <w:numId w:val="12"/>
      </w:numPr>
      <w:spacing w:after="60" w:line="288" w:lineRule="auto"/>
      <w:jc w:val="both"/>
    </w:pPr>
    <w:rPr>
      <w:kern w:val="18"/>
      <w:sz w:val="20"/>
      <w:szCs w:val="20"/>
    </w:rPr>
  </w:style>
  <w:style w:type="paragraph" w:customStyle="1" w:styleId="BTCbulletsCTB">
    <w:name w:val="BTC bullets CTB"/>
    <w:basedOn w:val="Normal"/>
    <w:autoRedefine/>
    <w:uiPriority w:val="99"/>
    <w:rsid w:val="0055535A"/>
    <w:pPr>
      <w:widowControl/>
      <w:numPr>
        <w:numId w:val="13"/>
      </w:numPr>
      <w:tabs>
        <w:tab w:val="num" w:pos="540"/>
      </w:tabs>
      <w:suppressAutoHyphens w:val="0"/>
      <w:snapToGrid/>
      <w:ind w:left="900" w:hanging="540"/>
    </w:pPr>
    <w:rPr>
      <w:rFonts w:ascii="Times New Roman" w:hAnsi="Times New Roman"/>
      <w:sz w:val="22"/>
      <w:szCs w:val="22"/>
    </w:rPr>
  </w:style>
  <w:style w:type="paragraph" w:customStyle="1" w:styleId="BTCnumberlist">
    <w:name w:val="BTC number list"/>
    <w:autoRedefine/>
    <w:uiPriority w:val="99"/>
    <w:rsid w:val="0055535A"/>
    <w:pPr>
      <w:numPr>
        <w:numId w:val="14"/>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uiPriority w:val="99"/>
    <w:rsid w:val="0055535A"/>
    <w:pPr>
      <w:keepNext w:val="0"/>
      <w:widowControl/>
      <w:numPr>
        <w:ilvl w:val="0"/>
        <w:numId w:val="0"/>
      </w:numPr>
      <w:suppressAutoHyphens w:val="0"/>
      <w:spacing w:before="240" w:after="60"/>
    </w:pPr>
    <w:rPr>
      <w:rFonts w:ascii="Verdana" w:eastAsia="Times New Roman" w:hAnsi="Verdana"/>
      <w:b w:val="0"/>
      <w:bCs w:val="0"/>
      <w:color w:val="000000"/>
      <w:spacing w:val="20"/>
      <w:sz w:val="28"/>
    </w:rPr>
  </w:style>
  <w:style w:type="paragraph" w:customStyle="1" w:styleId="BulletText1">
    <w:name w:val="Bullet Text 1"/>
    <w:basedOn w:val="Normal"/>
    <w:uiPriority w:val="99"/>
    <w:rsid w:val="0055535A"/>
    <w:pPr>
      <w:widowControl/>
      <w:numPr>
        <w:numId w:val="15"/>
      </w:numPr>
      <w:suppressAutoHyphens w:val="0"/>
      <w:snapToGrid/>
    </w:pPr>
    <w:rPr>
      <w:rFonts w:ascii="Times New Roman" w:hAnsi="Times New Roman"/>
    </w:rPr>
  </w:style>
  <w:style w:type="paragraph" w:customStyle="1" w:styleId="Ballontekst1">
    <w:name w:val="Ballontekst1"/>
    <w:basedOn w:val="Normal"/>
    <w:uiPriority w:val="99"/>
    <w:rsid w:val="0055535A"/>
    <w:rPr>
      <w:rFonts w:ascii="Tahoma" w:hAnsi="Tahoma" w:cs="Tahoma"/>
      <w:sz w:val="16"/>
      <w:szCs w:val="16"/>
    </w:rPr>
  </w:style>
  <w:style w:type="paragraph" w:customStyle="1" w:styleId="MapTitleContinued">
    <w:name w:val="Map Title. Continued"/>
    <w:basedOn w:val="Normal"/>
    <w:next w:val="Normal"/>
    <w:uiPriority w:val="99"/>
    <w:rsid w:val="0055535A"/>
    <w:pPr>
      <w:widowControl/>
      <w:suppressAutoHyphens w:val="0"/>
      <w:snapToGrid/>
      <w:spacing w:after="240"/>
    </w:pPr>
    <w:rPr>
      <w:rFonts w:cs="Arial"/>
      <w:b/>
      <w:bCs/>
      <w:color w:val="000000"/>
      <w:sz w:val="32"/>
      <w:szCs w:val="32"/>
    </w:rPr>
  </w:style>
  <w:style w:type="paragraph" w:customStyle="1" w:styleId="CTBCorpsdetexte">
    <w:name w:val="CTB Corps de texte"/>
    <w:basedOn w:val="Normal"/>
    <w:uiPriority w:val="99"/>
    <w:rsid w:val="0055535A"/>
    <w:pPr>
      <w:snapToGrid/>
      <w:spacing w:after="120"/>
      <w:jc w:val="both"/>
    </w:pPr>
    <w:rPr>
      <w:kern w:val="18"/>
      <w:sz w:val="20"/>
      <w:szCs w:val="20"/>
    </w:rPr>
  </w:style>
  <w:style w:type="paragraph" w:customStyle="1" w:styleId="Default">
    <w:name w:val="Default"/>
    <w:uiPriority w:val="99"/>
    <w:rsid w:val="0055535A"/>
    <w:pPr>
      <w:autoSpaceDE w:val="0"/>
      <w:autoSpaceDN w:val="0"/>
      <w:adjustRightInd w:val="0"/>
    </w:pPr>
    <w:rPr>
      <w:rFonts w:ascii="Arial" w:hAnsi="Arial" w:cs="Arial"/>
      <w:color w:val="000000"/>
      <w:sz w:val="24"/>
      <w:szCs w:val="24"/>
    </w:rPr>
  </w:style>
  <w:style w:type="character" w:styleId="Appelnotedebasdep">
    <w:name w:val="footnote reference"/>
    <w:semiHidden/>
    <w:unhideWhenUsed/>
    <w:rsid w:val="0055535A"/>
    <w:rPr>
      <w:i/>
      <w:iCs/>
      <w:sz w:val="20"/>
      <w:vertAlign w:val="superscript"/>
      <w:lang w:val="fr-FR" w:eastAsia="fr-FR"/>
    </w:rPr>
  </w:style>
  <w:style w:type="character" w:styleId="Marquedecommentaire">
    <w:name w:val="annotation reference"/>
    <w:uiPriority w:val="99"/>
    <w:semiHidden/>
    <w:unhideWhenUsed/>
    <w:rsid w:val="0055535A"/>
    <w:rPr>
      <w:sz w:val="16"/>
      <w:szCs w:val="16"/>
      <w:lang w:val="fr-FR" w:eastAsia="fr-FR"/>
    </w:rPr>
  </w:style>
  <w:style w:type="character" w:styleId="Appeldenotedefin">
    <w:name w:val="endnote reference"/>
    <w:semiHidden/>
    <w:unhideWhenUsed/>
    <w:rsid w:val="0055535A"/>
    <w:rPr>
      <w:vertAlign w:val="superscript"/>
      <w:lang w:val="fr-FR" w:eastAsia="fr-FR"/>
    </w:rPr>
  </w:style>
  <w:style w:type="character" w:customStyle="1" w:styleId="NumberingSymbols">
    <w:name w:val="Numbering Symbols"/>
    <w:rsid w:val="0055535A"/>
  </w:style>
  <w:style w:type="character" w:customStyle="1" w:styleId="Bullets">
    <w:name w:val="Bullets"/>
    <w:rsid w:val="0055535A"/>
    <w:rPr>
      <w:rFonts w:ascii="OpenSymbol" w:eastAsia="Times New Roman" w:hAnsi="OpenSymbol" w:hint="default"/>
      <w:lang w:val="fr-FR" w:eastAsia="fr-FR"/>
    </w:rPr>
  </w:style>
  <w:style w:type="character" w:customStyle="1" w:styleId="Placeholder">
    <w:name w:val="Placeholder"/>
    <w:rsid w:val="0055535A"/>
    <w:rPr>
      <w:smallCaps/>
      <w:color w:val="008080"/>
      <w:u w:val="dotted"/>
      <w:lang w:val="fr-FR" w:eastAsia="fr-FR"/>
    </w:rPr>
  </w:style>
  <w:style w:type="character" w:customStyle="1" w:styleId="FootnoteCharacters">
    <w:name w:val="Footnote Characters"/>
    <w:rsid w:val="0055535A"/>
  </w:style>
  <w:style w:type="character" w:customStyle="1" w:styleId="EndnoteCharacters">
    <w:name w:val="Endnote Characters"/>
    <w:rsid w:val="0055535A"/>
  </w:style>
  <w:style w:type="character" w:customStyle="1" w:styleId="tw4winMark">
    <w:name w:val="tw4winMark"/>
    <w:rsid w:val="0055535A"/>
    <w:rPr>
      <w:rFonts w:ascii="Courier New" w:hAnsi="Courier New" w:cs="Courier New" w:hint="default"/>
      <w:vanish/>
      <w:webHidden w:val="0"/>
      <w:color w:val="800080"/>
      <w:sz w:val="24"/>
      <w:szCs w:val="24"/>
      <w:vertAlign w:val="subscript"/>
      <w:lang w:val="fr-FR" w:eastAsia="fr-FR"/>
      <w:specVanish w:val="0"/>
    </w:rPr>
  </w:style>
  <w:style w:type="character" w:customStyle="1" w:styleId="tw4winError">
    <w:name w:val="tw4winError"/>
    <w:rsid w:val="0055535A"/>
    <w:rPr>
      <w:rFonts w:ascii="Courier New" w:hAnsi="Courier New" w:cs="Courier New" w:hint="default"/>
      <w:color w:val="00FF00"/>
      <w:sz w:val="40"/>
      <w:szCs w:val="40"/>
      <w:lang w:val="fr-FR" w:eastAsia="fr-FR"/>
    </w:rPr>
  </w:style>
  <w:style w:type="character" w:customStyle="1" w:styleId="tw4winTerm">
    <w:name w:val="tw4winTerm"/>
    <w:rsid w:val="0055535A"/>
    <w:rPr>
      <w:color w:val="0000FF"/>
      <w:lang w:val="fr-FR" w:eastAsia="fr-FR"/>
    </w:rPr>
  </w:style>
  <w:style w:type="character" w:customStyle="1" w:styleId="tw4winPopup">
    <w:name w:val="tw4winPopup"/>
    <w:rsid w:val="0055535A"/>
    <w:rPr>
      <w:rFonts w:ascii="Courier New" w:hAnsi="Courier New" w:cs="Courier New" w:hint="default"/>
      <w:noProof/>
      <w:color w:val="008000"/>
      <w:lang w:val="fr-FR" w:eastAsia="fr-FR"/>
    </w:rPr>
  </w:style>
  <w:style w:type="character" w:customStyle="1" w:styleId="tw4winJump">
    <w:name w:val="tw4winJump"/>
    <w:rsid w:val="0055535A"/>
    <w:rPr>
      <w:rFonts w:ascii="Courier New" w:hAnsi="Courier New" w:cs="Courier New" w:hint="default"/>
      <w:noProof/>
      <w:color w:val="008080"/>
      <w:lang w:val="fr-FR" w:eastAsia="fr-FR"/>
    </w:rPr>
  </w:style>
  <w:style w:type="character" w:customStyle="1" w:styleId="tw4winExternal">
    <w:name w:val="tw4winExternal"/>
    <w:rsid w:val="0055535A"/>
    <w:rPr>
      <w:rFonts w:ascii="Courier New" w:hAnsi="Courier New" w:cs="Courier New" w:hint="default"/>
      <w:noProof/>
      <w:color w:val="808080"/>
      <w:lang w:val="fr-FR" w:eastAsia="fr-FR"/>
    </w:rPr>
  </w:style>
  <w:style w:type="character" w:customStyle="1" w:styleId="tw4winInternal">
    <w:name w:val="tw4winInternal"/>
    <w:rsid w:val="0055535A"/>
    <w:rPr>
      <w:rFonts w:ascii="Courier New" w:hAnsi="Courier New" w:cs="Courier New" w:hint="default"/>
      <w:noProof/>
      <w:color w:val="FF0000"/>
      <w:lang w:val="fr-FR" w:eastAsia="fr-FR"/>
    </w:rPr>
  </w:style>
  <w:style w:type="character" w:customStyle="1" w:styleId="DONOTTRANSLATE">
    <w:name w:val="DO_NOT_TRANSLATE"/>
    <w:rsid w:val="0055535A"/>
    <w:rPr>
      <w:rFonts w:ascii="Courier New" w:hAnsi="Courier New" w:cs="Courier New" w:hint="default"/>
      <w:noProof/>
      <w:color w:val="800000"/>
      <w:lang w:val="fr-FR" w:eastAsia="fr-FR"/>
    </w:rPr>
  </w:style>
  <w:style w:type="character" w:customStyle="1" w:styleId="BallontekstChar">
    <w:name w:val="Ballontekst Char"/>
    <w:semiHidden/>
    <w:rsid w:val="0055535A"/>
    <w:rPr>
      <w:rFonts w:ascii="Tahoma" w:hAnsi="Tahoma" w:cs="Tahoma" w:hint="default"/>
      <w:snapToGrid/>
      <w:kern w:val="2"/>
      <w:sz w:val="16"/>
      <w:szCs w:val="16"/>
      <w:lang w:val="fr-FR" w:eastAsia="fr-FR"/>
    </w:rPr>
  </w:style>
  <w:style w:type="table" w:styleId="Grilledutableau">
    <w:name w:val="Table Grid"/>
    <w:basedOn w:val="TableauNormal"/>
    <w:uiPriority w:val="59"/>
    <w:rsid w:val="0055535A"/>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9">
    <w:name w:val="toc 9"/>
    <w:basedOn w:val="Index"/>
    <w:autoRedefine/>
    <w:uiPriority w:val="39"/>
    <w:semiHidden/>
    <w:unhideWhenUsed/>
    <w:rsid w:val="0055535A"/>
    <w:pPr>
      <w:suppressLineNumbers w:val="0"/>
      <w:ind w:left="1920"/>
    </w:pPr>
    <w:rPr>
      <w:rFonts w:ascii="Times New Roman" w:hAnsi="Times New Roman"/>
      <w:szCs w:val="21"/>
    </w:rPr>
  </w:style>
  <w:style w:type="paragraph" w:styleId="TM8">
    <w:name w:val="toc 8"/>
    <w:basedOn w:val="Index"/>
    <w:autoRedefine/>
    <w:uiPriority w:val="39"/>
    <w:semiHidden/>
    <w:unhideWhenUsed/>
    <w:rsid w:val="0055535A"/>
    <w:pPr>
      <w:suppressLineNumbers w:val="0"/>
      <w:ind w:left="1680"/>
    </w:pPr>
    <w:rPr>
      <w:rFonts w:ascii="Times New Roman" w:hAnsi="Times New Roman"/>
      <w:szCs w:val="21"/>
    </w:rPr>
  </w:style>
  <w:style w:type="paragraph" w:styleId="TM7">
    <w:name w:val="toc 7"/>
    <w:basedOn w:val="Index"/>
    <w:autoRedefine/>
    <w:uiPriority w:val="39"/>
    <w:semiHidden/>
    <w:unhideWhenUsed/>
    <w:rsid w:val="0055535A"/>
    <w:pPr>
      <w:suppressLineNumbers w:val="0"/>
      <w:ind w:left="1440"/>
    </w:pPr>
    <w:rPr>
      <w:rFonts w:ascii="Times New Roman" w:hAnsi="Times New Roman"/>
      <w:szCs w:val="21"/>
    </w:rPr>
  </w:style>
  <w:style w:type="paragraph" w:styleId="TM6">
    <w:name w:val="toc 6"/>
    <w:basedOn w:val="Index"/>
    <w:autoRedefine/>
    <w:uiPriority w:val="39"/>
    <w:semiHidden/>
    <w:unhideWhenUsed/>
    <w:rsid w:val="0055535A"/>
    <w:pPr>
      <w:suppressLineNumbers w:val="0"/>
      <w:ind w:left="1200"/>
    </w:pPr>
    <w:rPr>
      <w:rFonts w:ascii="Times New Roman" w:hAnsi="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38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PONAT\AppData\Local\Microsoft\Windows\Temporary%20Internet%20Files\Content.Outlook\OKWU5IIY\RAPPORT%202016%20PAISS%2027%20f&#233;vrier%20FINAL%20(3)__JKR.docx" TargetMode="External"/><Relationship Id="rId21" Type="http://schemas.openxmlformats.org/officeDocument/2006/relationships/hyperlink" Target="file:///C:\Users\PONAT\AppData\Local\Microsoft\Windows\Temporary%20Internet%20Files\Content.Outlook\OKWU5IIY\RAPPORT%202016%20PAISS%2027%20f&#233;vrier%20FINAL%20(3)__JKR.docx" TargetMode="External"/><Relationship Id="rId42" Type="http://schemas.openxmlformats.org/officeDocument/2006/relationships/hyperlink" Target="file:///C:\Users\PONAT\AppData\Local\Microsoft\Windows\Temporary%20Internet%20Files\Content.Outlook\OKWU5IIY\RAPPORT%202016%20PAISS%2027%20f&#233;vrier%20FINAL%20(3)__JKR.docx" TargetMode="External"/><Relationship Id="rId47" Type="http://schemas.openxmlformats.org/officeDocument/2006/relationships/hyperlink" Target="file:///C:\Users\PONAT\AppData\Local\Microsoft\Windows\Temporary%20Internet%20Files\Content.Outlook\OKWU5IIY\RAPPORT%202016%20PAISS%2027%20f&#233;vrier%20FINAL%20(3)__JKR.docx" TargetMode="External"/><Relationship Id="rId63" Type="http://schemas.openxmlformats.org/officeDocument/2006/relationships/hyperlink" Target="file:///C:\Users\PONAT\AppData\Local\Microsoft\Windows\Temporary%20Internet%20Files\Content.Outlook\OKWU5IIY\RAPPORT%202016%20PAISS%2027%20f&#233;vrier%20FINAL%20(3)__JKR.docx" TargetMode="External"/><Relationship Id="rId68" Type="http://schemas.openxmlformats.org/officeDocument/2006/relationships/hyperlink" Target="file:///C:\Users\PONAT\AppData\Local\Microsoft\Windows\Temporary%20Internet%20Files\Content.Outlook\OKWU5IIY\RAPPORT%202016%20PAISS%2027%20f&#233;vrier%20FINAL%20(3)__JKR.docx" TargetMode="External"/><Relationship Id="rId84" Type="http://schemas.openxmlformats.org/officeDocument/2006/relationships/hyperlink" Target="file:///C:\Users\PONAT\AppData\Local\Microsoft\Windows\Temporary%20Internet%20Files\Content.Outlook\OKWU5IIY\RAPPORT%202016%20PAISS%2027%20f&#233;vrier%20FINAL%20(3)__JKR.docx" TargetMode="External"/><Relationship Id="rId89" Type="http://schemas.openxmlformats.org/officeDocument/2006/relationships/hyperlink" Target="file:///C:\Users\PONAT\AppData\Local\Microsoft\Windows\Temporary%20Internet%20Files\Content.Outlook\OKWU5IIY\RAPPORT%202016%20PAISS%2027%20f&#233;vrier%20FINAL%20(3)__JKR.docx" TargetMode="External"/><Relationship Id="rId2" Type="http://schemas.openxmlformats.org/officeDocument/2006/relationships/styles" Target="styles.xml"/><Relationship Id="rId16" Type="http://schemas.openxmlformats.org/officeDocument/2006/relationships/hyperlink" Target="file:///C:\Users\PONAT\AppData\Local\Microsoft\Windows\Temporary%20Internet%20Files\Content.Outlook\OKWU5IIY\RAPPORT%202016%20PAISS%2027%20f&#233;vrier%20FINAL%20(3)__JKR.docx" TargetMode="External"/><Relationship Id="rId29" Type="http://schemas.openxmlformats.org/officeDocument/2006/relationships/hyperlink" Target="file:///C:\Users\PONAT\AppData\Local\Microsoft\Windows\Temporary%20Internet%20Files\Content.Outlook\OKWU5IIY\RAPPORT%202016%20PAISS%2027%20f&#233;vrier%20FINAL%20(3)__JKR.docx" TargetMode="External"/><Relationship Id="rId107"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hyperlink" Target="file:///C:\Users\PONAT\AppData\Local\Microsoft\Windows\Temporary%20Internet%20Files\Content.Outlook\OKWU5IIY\RAPPORT%202016%20PAISS%2027%20f&#233;vrier%20FINAL%20(3)__JKR.docx" TargetMode="External"/><Relationship Id="rId32" Type="http://schemas.openxmlformats.org/officeDocument/2006/relationships/hyperlink" Target="file:///C:\Users\PONAT\AppData\Local\Microsoft\Windows\Temporary%20Internet%20Files\Content.Outlook\OKWU5IIY\RAPPORT%202016%20PAISS%2027%20f&#233;vrier%20FINAL%20(3)__JKR.docx" TargetMode="External"/><Relationship Id="rId37" Type="http://schemas.openxmlformats.org/officeDocument/2006/relationships/hyperlink" Target="file:///C:\Users\PONAT\AppData\Local\Microsoft\Windows\Temporary%20Internet%20Files\Content.Outlook\OKWU5IIY\RAPPORT%202016%20PAISS%2027%20f&#233;vrier%20FINAL%20(3)__JKR.docx" TargetMode="External"/><Relationship Id="rId40" Type="http://schemas.openxmlformats.org/officeDocument/2006/relationships/hyperlink" Target="file:///C:\Users\PONAT\AppData\Local\Microsoft\Windows\Temporary%20Internet%20Files\Content.Outlook\OKWU5IIY\RAPPORT%202016%20PAISS%2027%20f&#233;vrier%20FINAL%20(3)__JKR.docx" TargetMode="External"/><Relationship Id="rId45" Type="http://schemas.openxmlformats.org/officeDocument/2006/relationships/hyperlink" Target="file:///C:\Users\PONAT\AppData\Local\Microsoft\Windows\Temporary%20Internet%20Files\Content.Outlook\OKWU5IIY\RAPPORT%202016%20PAISS%2027%20f&#233;vrier%20FINAL%20(3)__JKR.docx" TargetMode="External"/><Relationship Id="rId53" Type="http://schemas.openxmlformats.org/officeDocument/2006/relationships/hyperlink" Target="file:///C:\Users\PONAT\AppData\Local\Microsoft\Windows\Temporary%20Internet%20Files\Content.Outlook\OKWU5IIY\RAPPORT%202016%20PAISS%2027%20f&#233;vrier%20FINAL%20(3)__JKR.docx" TargetMode="External"/><Relationship Id="rId58" Type="http://schemas.openxmlformats.org/officeDocument/2006/relationships/hyperlink" Target="file:///C:\Users\PONAT\AppData\Local\Microsoft\Windows\Temporary%20Internet%20Files\Content.Outlook\OKWU5IIY\RAPPORT%202016%20PAISS%2027%20f&#233;vrier%20FINAL%20(3)__JKR.docx" TargetMode="External"/><Relationship Id="rId66" Type="http://schemas.openxmlformats.org/officeDocument/2006/relationships/hyperlink" Target="file:///C:\Users\PONAT\AppData\Local\Microsoft\Windows\Temporary%20Internet%20Files\Content.Outlook\OKWU5IIY\RAPPORT%202016%20PAISS%2027%20f&#233;vrier%20FINAL%20(3)__JKR.docx" TargetMode="External"/><Relationship Id="rId74" Type="http://schemas.openxmlformats.org/officeDocument/2006/relationships/hyperlink" Target="file:///C:\Users\PONAT\AppData\Local\Microsoft\Windows\Temporary%20Internet%20Files\Content.Outlook\OKWU5IIY\RAPPORT%202016%20PAISS%2027%20f&#233;vrier%20FINAL%20(3)__JKR.docx" TargetMode="External"/><Relationship Id="rId79" Type="http://schemas.openxmlformats.org/officeDocument/2006/relationships/hyperlink" Target="file:///C:\Users\PONAT\AppData\Local\Microsoft\Windows\Temporary%20Internet%20Files\Content.Outlook\OKWU5IIY\RAPPORT%202016%20PAISS%2027%20f&#233;vrier%20FINAL%20(3)__JKR.docx" TargetMode="External"/><Relationship Id="rId87" Type="http://schemas.openxmlformats.org/officeDocument/2006/relationships/hyperlink" Target="file:///C:\Users\PONAT\AppData\Local\Microsoft\Windows\Temporary%20Internet%20Files\Content.Outlook\OKWU5IIY\RAPPORT%202016%20PAISS%2027%20f&#233;vrier%20FINAL%20(3)__JKR.docx" TargetMode="External"/><Relationship Id="rId102"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file:///C:\Users\PONAT\AppData\Local\Microsoft\Windows\Temporary%20Internet%20Files\Content.Outlook\OKWU5IIY\RAPPORT%202016%20PAISS%2027%20f&#233;vrier%20FINAL%20(3)__JKR.docx" TargetMode="External"/><Relationship Id="rId82" Type="http://schemas.openxmlformats.org/officeDocument/2006/relationships/hyperlink" Target="file:///C:\Users\PONAT\AppData\Local\Microsoft\Windows\Temporary%20Internet%20Files\Content.Outlook\OKWU5IIY\RAPPORT%202016%20PAISS%2027%20f&#233;vrier%20FINAL%20(3)__JKR.docx" TargetMode="External"/><Relationship Id="rId90" Type="http://schemas.openxmlformats.org/officeDocument/2006/relationships/hyperlink" Target="file:///C:\Users\PONAT\AppData\Local\Microsoft\Windows\Temporary%20Internet%20Files\Content.Outlook\OKWU5IIY\RAPPORT%202016%20PAISS%2027%20f&#233;vrier%20FINAL%20(3)__JKR.docx" TargetMode="External"/><Relationship Id="rId95" Type="http://schemas.openxmlformats.org/officeDocument/2006/relationships/image" Target="media/image5.png"/><Relationship Id="rId19" Type="http://schemas.openxmlformats.org/officeDocument/2006/relationships/hyperlink" Target="file:///C:\Users\PONAT\AppData\Local\Microsoft\Windows\Temporary%20Internet%20Files\Content.Outlook\OKWU5IIY\RAPPORT%202016%20PAISS%2027%20f&#233;vrier%20FINAL%20(3)__JKR.docx" TargetMode="External"/><Relationship Id="rId14" Type="http://schemas.openxmlformats.org/officeDocument/2006/relationships/hyperlink" Target="file:///C:\Users\PONAT\AppData\Local\Microsoft\Windows\Temporary%20Internet%20Files\Content.Outlook\OKWU5IIY\RAPPORT%202016%20PAISS%2027%20f&#233;vrier%20FINAL%20(3)__JKR.docx" TargetMode="External"/><Relationship Id="rId22" Type="http://schemas.openxmlformats.org/officeDocument/2006/relationships/hyperlink" Target="file:///C:\Users\PONAT\AppData\Local\Microsoft\Windows\Temporary%20Internet%20Files\Content.Outlook\OKWU5IIY\RAPPORT%202016%20PAISS%2027%20f&#233;vrier%20FINAL%20(3)__JKR.docx" TargetMode="External"/><Relationship Id="rId27" Type="http://schemas.openxmlformats.org/officeDocument/2006/relationships/hyperlink" Target="file:///C:\Users\PONAT\AppData\Local\Microsoft\Windows\Temporary%20Internet%20Files\Content.Outlook\OKWU5IIY\RAPPORT%202016%20PAISS%2027%20f&#233;vrier%20FINAL%20(3)__JKR.docx" TargetMode="External"/><Relationship Id="rId30" Type="http://schemas.openxmlformats.org/officeDocument/2006/relationships/hyperlink" Target="file:///C:\Users\PONAT\AppData\Local\Microsoft\Windows\Temporary%20Internet%20Files\Content.Outlook\OKWU5IIY\RAPPORT%202016%20PAISS%2027%20f&#233;vrier%20FINAL%20(3)__JKR.docx" TargetMode="External"/><Relationship Id="rId35" Type="http://schemas.openxmlformats.org/officeDocument/2006/relationships/hyperlink" Target="file:///C:\Users\PONAT\AppData\Local\Microsoft\Windows\Temporary%20Internet%20Files\Content.Outlook\OKWU5IIY\RAPPORT%202016%20PAISS%2027%20f&#233;vrier%20FINAL%20(3)__JKR.docx" TargetMode="External"/><Relationship Id="rId43" Type="http://schemas.openxmlformats.org/officeDocument/2006/relationships/hyperlink" Target="file:///C:\Users\PONAT\AppData\Local\Microsoft\Windows\Temporary%20Internet%20Files\Content.Outlook\OKWU5IIY\RAPPORT%202016%20PAISS%2027%20f&#233;vrier%20FINAL%20(3)__JKR.docx" TargetMode="External"/><Relationship Id="rId48" Type="http://schemas.openxmlformats.org/officeDocument/2006/relationships/hyperlink" Target="file:///C:\Users\PONAT\AppData\Local\Microsoft\Windows\Temporary%20Internet%20Files\Content.Outlook\OKWU5IIY\RAPPORT%202016%20PAISS%2027%20f&#233;vrier%20FINAL%20(3)__JKR.docx" TargetMode="External"/><Relationship Id="rId56" Type="http://schemas.openxmlformats.org/officeDocument/2006/relationships/hyperlink" Target="file:///C:\Users\PONAT\AppData\Local\Microsoft\Windows\Temporary%20Internet%20Files\Content.Outlook\OKWU5IIY\RAPPORT%202016%20PAISS%2027%20f&#233;vrier%20FINAL%20(3)__JKR.docx" TargetMode="External"/><Relationship Id="rId64" Type="http://schemas.openxmlformats.org/officeDocument/2006/relationships/hyperlink" Target="file:///C:\Users\PONAT\AppData\Local\Microsoft\Windows\Temporary%20Internet%20Files\Content.Outlook\OKWU5IIY\RAPPORT%202016%20PAISS%2027%20f&#233;vrier%20FINAL%20(3)__JKR.docx" TargetMode="External"/><Relationship Id="rId69" Type="http://schemas.openxmlformats.org/officeDocument/2006/relationships/hyperlink" Target="file:///C:\Users\PONAT\AppData\Local\Microsoft\Windows\Temporary%20Internet%20Files\Content.Outlook\OKWU5IIY\RAPPORT%202016%20PAISS%2027%20f&#233;vrier%20FINAL%20(3)__JKR.docx" TargetMode="External"/><Relationship Id="rId77" Type="http://schemas.openxmlformats.org/officeDocument/2006/relationships/hyperlink" Target="file:///C:\Users\PONAT\AppData\Local\Microsoft\Windows\Temporary%20Internet%20Files\Content.Outlook\OKWU5IIY\RAPPORT%202016%20PAISS%2027%20f&#233;vrier%20FINAL%20(3)__JKR.docx" TargetMode="External"/><Relationship Id="rId100" Type="http://schemas.openxmlformats.org/officeDocument/2006/relationships/image" Target="media/image10.png"/><Relationship Id="rId105"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file:///C:\Users\PONAT\AppData\Local\Microsoft\Windows\Temporary%20Internet%20Files\Content.Outlook\OKWU5IIY\RAPPORT%202016%20PAISS%2027%20f&#233;vrier%20FINAL%20(3)__JKR.docx" TargetMode="External"/><Relationship Id="rId72" Type="http://schemas.openxmlformats.org/officeDocument/2006/relationships/hyperlink" Target="file:///C:\Users\PONAT\AppData\Local\Microsoft\Windows\Temporary%20Internet%20Files\Content.Outlook\OKWU5IIY\RAPPORT%202016%20PAISS%2027%20f&#233;vrier%20FINAL%20(3)__JKR.docx" TargetMode="External"/><Relationship Id="rId80" Type="http://schemas.openxmlformats.org/officeDocument/2006/relationships/hyperlink" Target="file:///C:\Users\PONAT\AppData\Local\Microsoft\Windows\Temporary%20Internet%20Files\Content.Outlook\OKWU5IIY\RAPPORT%202016%20PAISS%2027%20f&#233;vrier%20FINAL%20(3)__JKR.docx" TargetMode="External"/><Relationship Id="rId85" Type="http://schemas.openxmlformats.org/officeDocument/2006/relationships/hyperlink" Target="file:///C:\Users\PONAT\AppData\Local\Microsoft\Windows\Temporary%20Internet%20Files\Content.Outlook\OKWU5IIY\RAPPORT%202016%20PAISS%2027%20f&#233;vrier%20FINAL%20(3)__JKR.docx" TargetMode="External"/><Relationship Id="rId93" Type="http://schemas.openxmlformats.org/officeDocument/2006/relationships/hyperlink" Target="file:///C:\Users\PONAT\AppData\Local\Microsoft\Windows\Temporary%20Internet%20Files\Content.Outlook\OKWU5IIY\RAPPORT%202016%20PAISS%2027%20f&#233;vrier%20FINAL%20(3)__JKR.docx" TargetMode="External"/><Relationship Id="rId98" Type="http://schemas.openxmlformats.org/officeDocument/2006/relationships/image" Target="media/image8.pn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file:///C:\Users\PONAT\AppData\Local\Microsoft\Windows\Temporary%20Internet%20Files\Content.Outlook\OKWU5IIY\RAPPORT%202016%20PAISS%2027%20f&#233;vrier%20FINAL%20(3)__JKR.docx" TargetMode="External"/><Relationship Id="rId25" Type="http://schemas.openxmlformats.org/officeDocument/2006/relationships/hyperlink" Target="file:///C:\Users\PONAT\AppData\Local\Microsoft\Windows\Temporary%20Internet%20Files\Content.Outlook\OKWU5IIY\RAPPORT%202016%20PAISS%2027%20f&#233;vrier%20FINAL%20(3)__JKR.docx" TargetMode="External"/><Relationship Id="rId33" Type="http://schemas.openxmlformats.org/officeDocument/2006/relationships/hyperlink" Target="file:///C:\Users\PONAT\AppData\Local\Microsoft\Windows\Temporary%20Internet%20Files\Content.Outlook\OKWU5IIY\RAPPORT%202016%20PAISS%2027%20f&#233;vrier%20FINAL%20(3)__JKR.docx" TargetMode="External"/><Relationship Id="rId38" Type="http://schemas.openxmlformats.org/officeDocument/2006/relationships/hyperlink" Target="file:///C:\Users\PONAT\AppData\Local\Microsoft\Windows\Temporary%20Internet%20Files\Content.Outlook\OKWU5IIY\RAPPORT%202016%20PAISS%2027%20f&#233;vrier%20FINAL%20(3)__JKR.docx" TargetMode="External"/><Relationship Id="rId46" Type="http://schemas.openxmlformats.org/officeDocument/2006/relationships/hyperlink" Target="file:///C:\Users\PONAT\AppData\Local\Microsoft\Windows\Temporary%20Internet%20Files\Content.Outlook\OKWU5IIY\RAPPORT%202016%20PAISS%2027%20f&#233;vrier%20FINAL%20(3)__JKR.docx" TargetMode="External"/><Relationship Id="rId59" Type="http://schemas.openxmlformats.org/officeDocument/2006/relationships/hyperlink" Target="file:///C:\Users\PONAT\AppData\Local\Microsoft\Windows\Temporary%20Internet%20Files\Content.Outlook\OKWU5IIY\RAPPORT%202016%20PAISS%2027%20f&#233;vrier%20FINAL%20(3)__JKR.docx" TargetMode="External"/><Relationship Id="rId67" Type="http://schemas.openxmlformats.org/officeDocument/2006/relationships/hyperlink" Target="file:///C:\Users\PONAT\AppData\Local\Microsoft\Windows\Temporary%20Internet%20Files\Content.Outlook\OKWU5IIY\RAPPORT%202016%20PAISS%2027%20f&#233;vrier%20FINAL%20(3)__JKR.docx" TargetMode="External"/><Relationship Id="rId103" Type="http://schemas.openxmlformats.org/officeDocument/2006/relationships/image" Target="media/image13.png"/><Relationship Id="rId108" Type="http://schemas.openxmlformats.org/officeDocument/2006/relationships/fontTable" Target="fontTable.xml"/><Relationship Id="rId20" Type="http://schemas.openxmlformats.org/officeDocument/2006/relationships/hyperlink" Target="file:///C:\Users\PONAT\AppData\Local\Microsoft\Windows\Temporary%20Internet%20Files\Content.Outlook\OKWU5IIY\RAPPORT%202016%20PAISS%2027%20f&#233;vrier%20FINAL%20(3)__JKR.docx" TargetMode="External"/><Relationship Id="rId41" Type="http://schemas.openxmlformats.org/officeDocument/2006/relationships/hyperlink" Target="file:///C:\Users\PONAT\AppData\Local\Microsoft\Windows\Temporary%20Internet%20Files\Content.Outlook\OKWU5IIY\RAPPORT%202016%20PAISS%2027%20f&#233;vrier%20FINAL%20(3)__JKR.docx" TargetMode="External"/><Relationship Id="rId54" Type="http://schemas.openxmlformats.org/officeDocument/2006/relationships/hyperlink" Target="file:///C:\Users\PONAT\AppData\Local\Microsoft\Windows\Temporary%20Internet%20Files\Content.Outlook\OKWU5IIY\RAPPORT%202016%20PAISS%2027%20f&#233;vrier%20FINAL%20(3)__JKR.docx" TargetMode="External"/><Relationship Id="rId62" Type="http://schemas.openxmlformats.org/officeDocument/2006/relationships/hyperlink" Target="file:///C:\Users\PONAT\AppData\Local\Microsoft\Windows\Temporary%20Internet%20Files\Content.Outlook\OKWU5IIY\RAPPORT%202016%20PAISS%2027%20f&#233;vrier%20FINAL%20(3)__JKR.docx" TargetMode="External"/><Relationship Id="rId70" Type="http://schemas.openxmlformats.org/officeDocument/2006/relationships/hyperlink" Target="file:///C:\Users\PONAT\AppData\Local\Microsoft\Windows\Temporary%20Internet%20Files\Content.Outlook\OKWU5IIY\RAPPORT%202016%20PAISS%2027%20f&#233;vrier%20FINAL%20(3)__JKR.docx" TargetMode="External"/><Relationship Id="rId75" Type="http://schemas.openxmlformats.org/officeDocument/2006/relationships/hyperlink" Target="file:///C:\Users\PONAT\AppData\Local\Microsoft\Windows\Temporary%20Internet%20Files\Content.Outlook\OKWU5IIY\RAPPORT%202016%20PAISS%2027%20f&#233;vrier%20FINAL%20(3)__JKR.docx" TargetMode="External"/><Relationship Id="rId83" Type="http://schemas.openxmlformats.org/officeDocument/2006/relationships/hyperlink" Target="file:///C:\Users\PONAT\AppData\Local\Microsoft\Windows\Temporary%20Internet%20Files\Content.Outlook\OKWU5IIY\RAPPORT%202016%20PAISS%2027%20f&#233;vrier%20FINAL%20(3)__JKR.docx" TargetMode="External"/><Relationship Id="rId88" Type="http://schemas.openxmlformats.org/officeDocument/2006/relationships/hyperlink" Target="file:///C:\Users\PONAT\AppData\Local\Microsoft\Windows\Temporary%20Internet%20Files\Content.Outlook\OKWU5IIY\RAPPORT%202016%20PAISS%2027%20f&#233;vrier%20FINAL%20(3)__JKR.docx" TargetMode="External"/><Relationship Id="rId91" Type="http://schemas.openxmlformats.org/officeDocument/2006/relationships/hyperlink" Target="file:///C:\Users\PONAT\AppData\Local\Microsoft\Windows\Temporary%20Internet%20Files\Content.Outlook\OKWU5IIY\RAPPORT%202016%20PAISS%2027%20f&#233;vrier%20FINAL%20(3)__JKR.docx" TargetMode="External"/><Relationship Id="rId9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Users\PONAT\AppData\Local\Microsoft\Windows\Temporary%20Internet%20Files\Content.Outlook\OKWU5IIY\RAPPORT%202016%20PAISS%2027%20f&#233;vrier%20FINAL%20(3)__JKR.docx" TargetMode="External"/><Relationship Id="rId23" Type="http://schemas.openxmlformats.org/officeDocument/2006/relationships/hyperlink" Target="file:///C:\Users\PONAT\AppData\Local\Microsoft\Windows\Temporary%20Internet%20Files\Content.Outlook\OKWU5IIY\RAPPORT%202016%20PAISS%2027%20f&#233;vrier%20FINAL%20(3)__JKR.docx" TargetMode="External"/><Relationship Id="rId28" Type="http://schemas.openxmlformats.org/officeDocument/2006/relationships/hyperlink" Target="file:///C:\Users\PONAT\AppData\Local\Microsoft\Windows\Temporary%20Internet%20Files\Content.Outlook\OKWU5IIY\RAPPORT%202016%20PAISS%2027%20f&#233;vrier%20FINAL%20(3)__JKR.docx" TargetMode="External"/><Relationship Id="rId36" Type="http://schemas.openxmlformats.org/officeDocument/2006/relationships/hyperlink" Target="file:///C:\Users\PONAT\AppData\Local\Microsoft\Windows\Temporary%20Internet%20Files\Content.Outlook\OKWU5IIY\RAPPORT%202016%20PAISS%2027%20f&#233;vrier%20FINAL%20(3)__JKR.docx" TargetMode="External"/><Relationship Id="rId49" Type="http://schemas.openxmlformats.org/officeDocument/2006/relationships/hyperlink" Target="file:///C:\Users\PONAT\AppData\Local\Microsoft\Windows\Temporary%20Internet%20Files\Content.Outlook\OKWU5IIY\RAPPORT%202016%20PAISS%2027%20f&#233;vrier%20FINAL%20(3)__JKR.docx" TargetMode="External"/><Relationship Id="rId57" Type="http://schemas.openxmlformats.org/officeDocument/2006/relationships/hyperlink" Target="file:///C:\Users\PONAT\AppData\Local\Microsoft\Windows\Temporary%20Internet%20Files\Content.Outlook\OKWU5IIY\RAPPORT%202016%20PAISS%2027%20f&#233;vrier%20FINAL%20(3)__JKR.docx" TargetMode="External"/><Relationship Id="rId106" Type="http://schemas.openxmlformats.org/officeDocument/2006/relationships/image" Target="media/image16.png"/><Relationship Id="rId10" Type="http://schemas.openxmlformats.org/officeDocument/2006/relationships/image" Target="media/image2.jpeg"/><Relationship Id="rId31" Type="http://schemas.openxmlformats.org/officeDocument/2006/relationships/hyperlink" Target="file:///C:\Users\PONAT\AppData\Local\Microsoft\Windows\Temporary%20Internet%20Files\Content.Outlook\OKWU5IIY\RAPPORT%202016%20PAISS%2027%20f&#233;vrier%20FINAL%20(3)__JKR.docx" TargetMode="External"/><Relationship Id="rId44" Type="http://schemas.openxmlformats.org/officeDocument/2006/relationships/hyperlink" Target="file:///C:\Users\PONAT\AppData\Local\Microsoft\Windows\Temporary%20Internet%20Files\Content.Outlook\OKWU5IIY\RAPPORT%202016%20PAISS%2027%20f&#233;vrier%20FINAL%20(3)__JKR.docx" TargetMode="External"/><Relationship Id="rId52" Type="http://schemas.openxmlformats.org/officeDocument/2006/relationships/hyperlink" Target="file:///C:\Users\PONAT\AppData\Local\Microsoft\Windows\Temporary%20Internet%20Files\Content.Outlook\OKWU5IIY\RAPPORT%202016%20PAISS%2027%20f&#233;vrier%20FINAL%20(3)__JKR.docx" TargetMode="External"/><Relationship Id="rId60" Type="http://schemas.openxmlformats.org/officeDocument/2006/relationships/hyperlink" Target="file:///C:\Users\PONAT\AppData\Local\Microsoft\Windows\Temporary%20Internet%20Files\Content.Outlook\OKWU5IIY\RAPPORT%202016%20PAISS%2027%20f&#233;vrier%20FINAL%20(3)__JKR.docx" TargetMode="External"/><Relationship Id="rId65" Type="http://schemas.openxmlformats.org/officeDocument/2006/relationships/hyperlink" Target="file:///C:\Users\PONAT\AppData\Local\Microsoft\Windows\Temporary%20Internet%20Files\Content.Outlook\OKWU5IIY\RAPPORT%202016%20PAISS%2027%20f&#233;vrier%20FINAL%20(3)__JKR.docx" TargetMode="External"/><Relationship Id="rId73" Type="http://schemas.openxmlformats.org/officeDocument/2006/relationships/hyperlink" Target="file:///C:\Users\PONAT\AppData\Local\Microsoft\Windows\Temporary%20Internet%20Files\Content.Outlook\OKWU5IIY\RAPPORT%202016%20PAISS%2027%20f&#233;vrier%20FINAL%20(3)__JKR.docx" TargetMode="External"/><Relationship Id="rId78" Type="http://schemas.openxmlformats.org/officeDocument/2006/relationships/hyperlink" Target="file:///C:\Users\PONAT\AppData\Local\Microsoft\Windows\Temporary%20Internet%20Files\Content.Outlook\OKWU5IIY\RAPPORT%202016%20PAISS%2027%20f&#233;vrier%20FINAL%20(3)__JKR.docx" TargetMode="External"/><Relationship Id="rId81" Type="http://schemas.openxmlformats.org/officeDocument/2006/relationships/hyperlink" Target="file:///C:\Users\PONAT\AppData\Local\Microsoft\Windows\Temporary%20Internet%20Files\Content.Outlook\OKWU5IIY\RAPPORT%202016%20PAISS%2027%20f&#233;vrier%20FINAL%20(3)__JKR.docx" TargetMode="External"/><Relationship Id="rId86" Type="http://schemas.openxmlformats.org/officeDocument/2006/relationships/hyperlink" Target="file:///C:\Users\PONAT\AppData\Local\Microsoft\Windows\Temporary%20Internet%20Files\Content.Outlook\OKWU5IIY\RAPPORT%202016%20PAISS%2027%20f&#233;vrier%20FINAL%20(3)__JKR.docx" TargetMode="External"/><Relationship Id="rId94" Type="http://schemas.openxmlformats.org/officeDocument/2006/relationships/image" Target="media/image4.emf"/><Relationship Id="rId99" Type="http://schemas.openxmlformats.org/officeDocument/2006/relationships/image" Target="media/image9.png"/><Relationship Id="rId10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7.png"/><Relationship Id="rId13" Type="http://schemas.openxmlformats.org/officeDocument/2006/relationships/hyperlink" Target="file:///C:\Users\PONAT\AppData\Local\Microsoft\Windows\Temporary%20Internet%20Files\Content.Outlook\OKWU5IIY\RAPPORT%202016%20PAISS%2027%20f&#233;vrier%20FINAL%20(3)__JKR.docx" TargetMode="External"/><Relationship Id="rId18" Type="http://schemas.openxmlformats.org/officeDocument/2006/relationships/hyperlink" Target="file:///C:\Users\PONAT\AppData\Local\Microsoft\Windows\Temporary%20Internet%20Files\Content.Outlook\OKWU5IIY\RAPPORT%202016%20PAISS%2027%20f&#233;vrier%20FINAL%20(3)__JKR.docx" TargetMode="External"/><Relationship Id="rId39" Type="http://schemas.openxmlformats.org/officeDocument/2006/relationships/hyperlink" Target="file:///C:\Users\PONAT\AppData\Local\Microsoft\Windows\Temporary%20Internet%20Files\Content.Outlook\OKWU5IIY\RAPPORT%202016%20PAISS%2027%20f&#233;vrier%20FINAL%20(3)__JKR.docx" TargetMode="External"/><Relationship Id="rId109" Type="http://schemas.openxmlformats.org/officeDocument/2006/relationships/theme" Target="theme/theme1.xml"/><Relationship Id="rId34" Type="http://schemas.openxmlformats.org/officeDocument/2006/relationships/hyperlink" Target="file:///C:\Users\PONAT\AppData\Local\Microsoft\Windows\Temporary%20Internet%20Files\Content.Outlook\OKWU5IIY\RAPPORT%202016%20PAISS%2027%20f&#233;vrier%20FINAL%20(3)__JKR.docx" TargetMode="External"/><Relationship Id="rId50" Type="http://schemas.openxmlformats.org/officeDocument/2006/relationships/hyperlink" Target="file:///C:\Users\PONAT\AppData\Local\Microsoft\Windows\Temporary%20Internet%20Files\Content.Outlook\OKWU5IIY\RAPPORT%202016%20PAISS%2027%20f&#233;vrier%20FINAL%20(3)__JKR.docx" TargetMode="External"/><Relationship Id="rId55" Type="http://schemas.openxmlformats.org/officeDocument/2006/relationships/hyperlink" Target="file:///C:\Users\PONAT\AppData\Local\Microsoft\Windows\Temporary%20Internet%20Files\Content.Outlook\OKWU5IIY\RAPPORT%202016%20PAISS%2027%20f&#233;vrier%20FINAL%20(3)__JKR.docx" TargetMode="External"/><Relationship Id="rId76" Type="http://schemas.openxmlformats.org/officeDocument/2006/relationships/hyperlink" Target="file:///C:\Users\PONAT\AppData\Local\Microsoft\Windows\Temporary%20Internet%20Files\Content.Outlook\OKWU5IIY\RAPPORT%202016%20PAISS%2027%20f&#233;vrier%20FINAL%20(3)__JKR.docx" TargetMode="External"/><Relationship Id="rId97" Type="http://schemas.openxmlformats.org/officeDocument/2006/relationships/image" Target="media/image7.png"/><Relationship Id="rId104"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file:///C:\Users\PONAT\AppData\Local\Microsoft\Windows\Temporary%20Internet%20Files\Content.Outlook\OKWU5IIY\RAPPORT%202016%20PAISS%2027%20f&#233;vrier%20FINAL%20(3)__JKR.docx" TargetMode="External"/><Relationship Id="rId92" Type="http://schemas.openxmlformats.org/officeDocument/2006/relationships/hyperlink" Target="file:///C:\Users\PONAT\AppData\Local\Microsoft\Windows\Temporary%20Internet%20Files\Content.Outlook\OKWU5IIY\RAPPORT%202016%20PAISS%2027%20f&#233;vrier%20FINAL%20(3)__JKR.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58</Pages>
  <Words>19713</Words>
  <Characters>108427</Characters>
  <Application>Microsoft Office Word</Application>
  <DocSecurity>0</DocSecurity>
  <Lines>903</Lines>
  <Paragraphs>255</Paragraphs>
  <ScaleCrop>false</ScaleCrop>
  <HeadingPairs>
    <vt:vector size="4" baseType="variant">
      <vt:variant>
        <vt:lpstr>Titre</vt:lpstr>
      </vt:variant>
      <vt:variant>
        <vt:i4>1</vt:i4>
      </vt:variant>
      <vt:variant>
        <vt:lpstr>Titres</vt:lpstr>
      </vt:variant>
      <vt:variant>
        <vt:i4>65</vt:i4>
      </vt:variant>
    </vt:vector>
  </HeadingPairs>
  <TitlesOfParts>
    <vt:vector size="66" baseType="lpstr">
      <vt:lpstr/>
      <vt:lpstr>Aperçu de l'intervention </vt:lpstr>
      <vt:lpstr>    Fiche d'intervention</vt:lpstr>
      <vt:lpstr>    </vt:lpstr>
      <vt:lpstr>    Exécution budgétaire </vt:lpstr>
      <vt:lpstr>    Autoévaluation de la performance </vt:lpstr>
      <vt:lpstr>        Pertinence </vt:lpstr>
      <vt:lpstr>        Efficacité </vt:lpstr>
      <vt:lpstr>        Efficience </vt:lpstr>
      <vt:lpstr>        Durabilité potentielle </vt:lpstr>
      <vt:lpstr>    Conclusions </vt:lpstr>
      <vt:lpstr>Monitoring des résultats </vt:lpstr>
      <vt:lpstr>    Évolution du contexte</vt:lpstr>
      <vt:lpstr>        2.1.1 Contexte général </vt:lpstr>
      <vt:lpstr>        2.1.2 Contexte institutionnel		</vt:lpstr>
      <vt:lpstr>        2.1.3 Contexte de gestion : modalités d'exécution </vt:lpstr>
      <vt:lpstr>        2.1.4 Contexte HARMO				</vt:lpstr>
      <vt:lpstr>    Performance de l'outcome </vt:lpstr>
      <vt:lpstr>        2.2.1 Progrès des indicateurs</vt:lpstr>
      <vt:lpstr>        2.2.2 Analyse des progrès réalisés</vt:lpstr>
      <vt:lpstr>        </vt:lpstr>
      <vt:lpstr>        2.2.3 Impact potentiel </vt:lpstr>
      <vt:lpstr>    Volet 4 - SNIS : performance de l'output 1 </vt:lpstr>
      <vt:lpstr>        Progrès des indicateurs</vt:lpstr>
      <vt:lpstr>        État d'avancement des principales activités</vt:lpstr>
      <vt:lpstr>        Analyse des progrès réalisés</vt:lpstr>
      <vt:lpstr>    Volet 4 - SNIS : performance de l'output 2 </vt:lpstr>
      <vt:lpstr>        Progrès des indicateurs</vt:lpstr>
      <vt:lpstr>        État d'avancement des principales activités</vt:lpstr>
      <vt:lpstr>        Analyse des progrès réalisés</vt:lpstr>
      <vt:lpstr>    Volet 4 - SNIS : performance de l'output 3 </vt:lpstr>
      <vt:lpstr>        2.5.1 Progrès des indicateurs</vt:lpstr>
      <vt:lpstr>        2.5.2 État d'avancement des principales activités</vt:lpstr>
      <vt:lpstr>        2.5.3 Analyse des progrès réalisés</vt:lpstr>
      <vt:lpstr>    Volet 4 - SNIS : performance de l'output 4 </vt:lpstr>
      <vt:lpstr>        Progrès des indicateurs</vt:lpstr>
      <vt:lpstr>        État d'avancement des principales activités</vt:lpstr>
      <vt:lpstr>        Analyse des progrès réalisés</vt:lpstr>
      <vt:lpstr>    Volet 5 : performance de l'output 1 </vt:lpstr>
      <vt:lpstr>        Progrès des indicateurs</vt:lpstr>
      <vt:lpstr>        État d'avancement des principales activités</vt:lpstr>
      <vt:lpstr>        Analyse des progrès réalisés</vt:lpstr>
      <vt:lpstr>    Volet 5 : performance de l'output 2 </vt:lpstr>
      <vt:lpstr>        Progrès des indicateurs</vt:lpstr>
      <vt:lpstr>        État d'avancement des principales activités</vt:lpstr>
      <vt:lpstr>        Analyse des progrès réalisés</vt:lpstr>
      <vt:lpstr>    Volet 5 : performance de l'output 3 </vt:lpstr>
      <vt:lpstr>        Progrès des indicateurs</vt:lpstr>
      <vt:lpstr>        État d'avancement des principales activités</vt:lpstr>
      <vt:lpstr>        Analyse des progrès réalisés</vt:lpstr>
      <vt:lpstr>    Volet 5 : performance de l'output 4 </vt:lpstr>
      <vt:lpstr>        Progrès des indicateurs</vt:lpstr>
      <vt:lpstr>        État d'avancement des principales activités</vt:lpstr>
      <vt:lpstr>        Analyse des progrès réalisés</vt:lpstr>
      <vt:lpstr>    Volet 5 : performance de l'output 5 </vt:lpstr>
      <vt:lpstr>        Progrès des indicateurs</vt:lpstr>
      <vt:lpstr>        État d'avancement des principales activités</vt:lpstr>
      <vt:lpstr>        Analyse des progrès réalisés</vt:lpstr>
      <vt:lpstr>    Volet PC : performance de l'output 1 </vt:lpstr>
      <vt:lpstr>        Progrès des indicateurs</vt:lpstr>
      <vt:lpstr>        État d'avancement des principales activités</vt:lpstr>
      <vt:lpstr>        Analyse des progrès réalisés</vt:lpstr>
      <vt:lpstr>    Volet PC : performance de l'output 2 </vt:lpstr>
      <vt:lpstr>        Progrès des indicateurs</vt:lpstr>
      <vt:lpstr>        État d'avancement des principales activités</vt:lpstr>
      <vt:lpstr>        Analyse des progrès réalisés</vt:lpstr>
    </vt:vector>
  </TitlesOfParts>
  <Company>Microsoft</Company>
  <LinksUpToDate>false</LinksUpToDate>
  <CharactersWithSpaces>127885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Karonkano</dc:creator>
  <cp:lastModifiedBy>Jean Karonkano</cp:lastModifiedBy>
  <cp:revision>13</cp:revision>
  <cp:lastPrinted>2017-03-03T14:06:00Z</cp:lastPrinted>
  <dcterms:created xsi:type="dcterms:W3CDTF">2017-03-03T11:32:00Z</dcterms:created>
  <dcterms:modified xsi:type="dcterms:W3CDTF">2017-03-03T14:21:00Z</dcterms:modified>
</cp:coreProperties>
</file>